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E7" w:rsidRDefault="008E6CE7">
      <w:pPr>
        <w:jc w:val="center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jc w:val="center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Уважаемые жители Обливского района!</w:t>
      </w:r>
    </w:p>
    <w:p w:rsidR="008E6CE7" w:rsidRDefault="0002159E">
      <w:pPr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Представляю отчет Администрации Обливского района о результатах деятельности за январь-октябрь 2023 года.</w:t>
      </w:r>
    </w:p>
    <w:p w:rsidR="008E6CE7" w:rsidRDefault="0002159E">
      <w:pPr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Основными приоритетными направлениями работы Администрации района остаются развитие экономики, улучшение и стабилизация ситуации в социальной сфере. </w:t>
      </w:r>
    </w:p>
    <w:p w:rsidR="008E6CE7" w:rsidRDefault="0002159E">
      <w:pPr>
        <w:ind w:firstLine="709"/>
        <w:jc w:val="both"/>
        <w:rPr>
          <w:rFonts w:ascii="Times New Roman" w:hAnsi="Times New Roman"/>
          <w:b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Основным инструментом и одновременно индикатором социально-экономического развития является </w:t>
      </w:r>
      <w:r>
        <w:rPr>
          <w:rFonts w:ascii="Times New Roman" w:hAnsi="Times New Roman"/>
          <w:b/>
          <w:color w:val="000000" w:themeColor="text1"/>
          <w:sz w:val="44"/>
        </w:rPr>
        <w:t>районный бюджет.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 Исполнение бюджета Обливского района за        9 месяцев 2023 года составило по доходам –         750,3 млн рублей или 74,7 % к годовому плану, по расходам – 758,7 млн рублей или 72,6%.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Налоговые и неналоговые доходы бюджета района исполнены в сумме 105,4 млн рублей или           68,0 % к годовым плановым назначениям.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Удельный вес налоговых доходов в общем объеме налоговых и неналоговых поступлений составляет 79,7%. Данный показатель в </w:t>
      </w:r>
      <w:r>
        <w:rPr>
          <w:rFonts w:ascii="Times New Roman" w:hAnsi="Times New Roman"/>
          <w:color w:val="000000" w:themeColor="text1"/>
          <w:sz w:val="44"/>
        </w:rPr>
        <w:lastRenderedPageBreak/>
        <w:t xml:space="preserve">анализируемом периоде исполнен на 67,3% к годовому плану.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Объем безвозмездных поступлений в бюджет муниципального района за 9 месяцев текущего года составил 644,9 млн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На реализацию муниципальных программ за               9 месяцев текущего года направлено 754,5 млн рублей или 99,4% всех расходов бюджета района.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Просроченная кредиторская задолженность в бюджете муниципального района отсутствует.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Доходы консолидированного бюджета Обливского района,  как свода районного бюджета и бюджетов сельских поселений составили 830,5 млн рублей или 74,1% к годовому плану.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Налоговые и неналоговые доходы  в консолидированный бюджет поступили  в сумме 130,0  млн рублей или 68,1% к годовому плану.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Расходы исполнены в сумме 828,8 млн рублей, что составляет 71,0% к годовым плановым назначениям.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составе консолидированного бюджета Обливского района расходы на оплату труда работников составили 361,1 млн рублей или 70,8% к годовому плану.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На строительство, реконструкцию, капитальный ремонт и приобретение основных средств за               </w:t>
      </w:r>
      <w:r>
        <w:rPr>
          <w:rFonts w:ascii="Times New Roman" w:hAnsi="Times New Roman"/>
          <w:color w:val="000000" w:themeColor="text1"/>
          <w:sz w:val="44"/>
        </w:rPr>
        <w:lastRenderedPageBreak/>
        <w:t>9 месяцев  текущего года   направлено  227 млн рублей.</w:t>
      </w:r>
    </w:p>
    <w:p w:rsidR="008E6CE7" w:rsidRDefault="008E6CE7">
      <w:pPr>
        <w:spacing w:after="120" w:line="240" w:lineRule="auto"/>
        <w:ind w:firstLine="709"/>
        <w:rPr>
          <w:rFonts w:ascii="Times New Roman" w:hAnsi="Times New Roman"/>
          <w:color w:val="000000" w:themeColor="text1"/>
          <w:sz w:val="20"/>
        </w:rPr>
      </w:pPr>
    </w:p>
    <w:p w:rsidR="008E6CE7" w:rsidRDefault="0002159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Традиционно основой экономики района является </w:t>
      </w:r>
      <w:r>
        <w:rPr>
          <w:rFonts w:ascii="Times New Roman" w:hAnsi="Times New Roman"/>
          <w:b/>
          <w:color w:val="000000" w:themeColor="text1"/>
          <w:sz w:val="44"/>
        </w:rPr>
        <w:t>сельское хозяйство.</w:t>
      </w:r>
    </w:p>
    <w:p w:rsidR="008E6CE7" w:rsidRDefault="0002159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состав агропромышленного  комплекса района входит 12 сельхозпредприятий, 53 крестьянско-фермерских хозяйств, свыше 7,5 тыс. личных подсобных хозяйств.</w:t>
      </w:r>
    </w:p>
    <w:p w:rsidR="008E6CE7" w:rsidRDefault="0002159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текущем году по оперативным данным всеми хозяйствами района собрано в бункерном весе           220,0 тысяч тонн зерновых культур при урожайности 40,1 центнер с гектара, что составляет к уровню  2022 года 91,7 %.</w:t>
      </w:r>
    </w:p>
    <w:p w:rsidR="008E6CE7" w:rsidRDefault="0002159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Самая высокая урожайность по зерновым культурам – 60,0 центнера с гектара получена в ООО «Обливский Продовольственный Терминал», самый большой валовой сбор зерна – 39,2 тысячи тонн в ООО «Обливский Продовольственный Терминал». </w:t>
      </w:r>
    </w:p>
    <w:p w:rsidR="008E6CE7" w:rsidRDefault="0002159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Под урожай 2024 года сельхозпроизводителями  района посеяно 49,0 тысяч гектар озимых культур,  что составляет к плану 111,4%, вспахано зяби и паров  – 54,0 тысяч гектар или 122,7% к плану.</w:t>
      </w:r>
    </w:p>
    <w:p w:rsidR="008E6CE7" w:rsidRDefault="0002159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Поддержка сельского хозяйства всегда являлась одним из важнейших направлений  государственной политики. Сельхозтоваропроизводители района за            9 месяцев 2023 года получили субсидий из бюджетов всех уровней на сумму 35,0 млн. рублей. </w:t>
      </w:r>
    </w:p>
    <w:p w:rsidR="008E6CE7" w:rsidRDefault="008E6C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Важным сектором экономики района является </w:t>
      </w:r>
      <w:r>
        <w:rPr>
          <w:rFonts w:ascii="Times New Roman" w:hAnsi="Times New Roman"/>
          <w:b/>
          <w:color w:val="000000" w:themeColor="text1"/>
          <w:sz w:val="44"/>
        </w:rPr>
        <w:t>потребительский рынок,</w:t>
      </w:r>
      <w:r>
        <w:rPr>
          <w:rFonts w:ascii="Times New Roman" w:hAnsi="Times New Roman"/>
          <w:color w:val="000000" w:themeColor="text1"/>
          <w:sz w:val="44"/>
        </w:rPr>
        <w:t xml:space="preserve"> как одна из важнейших сфер экономической деятельности, обеспечивающей жизнедеятельность и благополучие населения муниципального образования.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Оборот розничной торговли по предварительным данным за 9 месяцев 2023 года составил 1115,1 млн рублей, темп роста в действующих ценах к аналогичному периоду 2022 года составил 101,4%.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настоящее время в Обливском районе функционирует 163 объекта розничной торговли, из них 20 сетевых предприятий. За истекший период 2023 года в районе открылось 3 новых торговых объекта.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Развитие экономики района в немалой степени зависит от развития и состояния индивидуальных предпринимателей, малых и микро предприятий, самозанятых граждан. По состоянию на 1 октября 2023 года на территории Обливского района осуществляют деятельность 1256 таких субъектов.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Важное значение в решении проблем социально - экономического развития района играют </w:t>
      </w:r>
      <w:r>
        <w:rPr>
          <w:rFonts w:ascii="Times New Roman" w:hAnsi="Times New Roman"/>
          <w:b/>
          <w:color w:val="000000" w:themeColor="text1"/>
          <w:sz w:val="44"/>
        </w:rPr>
        <w:t>инвестиции</w:t>
      </w:r>
      <w:r>
        <w:rPr>
          <w:rFonts w:ascii="Times New Roman" w:hAnsi="Times New Roman"/>
          <w:color w:val="000000" w:themeColor="text1"/>
          <w:sz w:val="44"/>
        </w:rPr>
        <w:t xml:space="preserve"> и </w:t>
      </w:r>
      <w:r>
        <w:rPr>
          <w:rFonts w:ascii="Times New Roman" w:hAnsi="Times New Roman"/>
          <w:b/>
          <w:color w:val="000000" w:themeColor="text1"/>
          <w:sz w:val="44"/>
        </w:rPr>
        <w:t>доходы от использования имущества,</w:t>
      </w:r>
      <w:r>
        <w:rPr>
          <w:rFonts w:ascii="Times New Roman" w:hAnsi="Times New Roman"/>
          <w:color w:val="000000" w:themeColor="text1"/>
          <w:sz w:val="44"/>
        </w:rPr>
        <w:t xml:space="preserve"> находящегося в государственной и муниципальной собственности.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lastRenderedPageBreak/>
        <w:t xml:space="preserve">По оперативным данным объем инвестиций в основной капитал за 9 месяцев 2023 года по полному кругу предприятий Обливского района составил 630,5 млн рублей. 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Наш район – сельскохозяйственный, поэтому основной приток инвестиций – это инвестиции сельхозпредприятий по закупке техники и  инвентаря. За 9 месяцев текущего года сельхозпредприятия района приобрели сельхозтехники и инвентаря на сумму 437,5 млн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36"/>
        </w:rPr>
      </w:pPr>
      <w:r>
        <w:rPr>
          <w:rFonts w:ascii="Times New Roman" w:hAnsi="Times New Roman"/>
          <w:color w:val="000000" w:themeColor="text1"/>
          <w:sz w:val="44"/>
        </w:rPr>
        <w:t xml:space="preserve">В текущем году на территории района находятся в  стадии реализации 4 инвестиционных проекта </w:t>
      </w:r>
      <w:r>
        <w:rPr>
          <w:rFonts w:ascii="Times New Roman" w:hAnsi="Times New Roman"/>
          <w:i/>
          <w:color w:val="000000" w:themeColor="text1"/>
          <w:sz w:val="36"/>
        </w:rPr>
        <w:t xml:space="preserve">(реконструкция объекта капитального строительства (здание автосервиса) – ИП Александрин Денис Васильевич, реконструкция объекта капитального строительства (нежилое здание под магазин) – Рустамов Магсад Мазахир Оглы Алекберов Эльшад Юсиф Оглы), строительство (пункт убоя скота на 10 голов в смену) - Магомедова Равганият Саидовна, строительство (нежилое здание под магазин)– Бициева Мария Александровна.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b/>
          <w:color w:val="000000" w:themeColor="text1"/>
          <w:sz w:val="44"/>
        </w:rPr>
        <w:t>Доходы от использования имущества,</w:t>
      </w:r>
      <w:r>
        <w:rPr>
          <w:rFonts w:ascii="Times New Roman" w:hAnsi="Times New Roman"/>
          <w:color w:val="000000" w:themeColor="text1"/>
          <w:sz w:val="44"/>
        </w:rPr>
        <w:t xml:space="preserve"> находящегося в государственной и муниципальной собственности, за 9 месяцев  2023 года составили         20 млн 507,0 тыс. рублей, из них: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– доходы от арендной платы за земельные участки  – 17 млн 523,0 тыс. рублей;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lastRenderedPageBreak/>
        <w:t xml:space="preserve">–  доходы от сдачи в аренду имущества –              282,6 тыс. рублей.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Кроме того в текущем году бюджет района получил  доходы от продажи материальных и  нематериальных активов (продажа земельных участков государственной и муниципальной собственности) в размере 2,0 млн 702 тыс. рублей.</w:t>
      </w:r>
    </w:p>
    <w:p w:rsidR="008E6CE7" w:rsidRDefault="008E6CE7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sz w:val="44"/>
        </w:rPr>
        <w:t xml:space="preserve">На особом контроле в Администрации района находится </w:t>
      </w:r>
      <w:r>
        <w:rPr>
          <w:rFonts w:ascii="Times New Roman" w:hAnsi="Times New Roman"/>
          <w:b/>
          <w:sz w:val="44"/>
        </w:rPr>
        <w:t>содержание и развитие транспортной и жилищно-коммунальной инфраструктур.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 xml:space="preserve">На содержание </w:t>
      </w:r>
      <w:r>
        <w:rPr>
          <w:rFonts w:ascii="Times New Roman" w:hAnsi="Times New Roman"/>
          <w:b/>
          <w:sz w:val="44"/>
        </w:rPr>
        <w:t>автомобильных дорог</w:t>
      </w:r>
      <w:r>
        <w:rPr>
          <w:rFonts w:ascii="Times New Roman" w:hAnsi="Times New Roman"/>
          <w:sz w:val="44"/>
        </w:rPr>
        <w:t xml:space="preserve"> общего пользования и уличной дорожной сети в 2023 году выделено 23,4 млн рублей. В рамках реализации муниципальной программы «Развитие транспортной системы» завершены работы по капитальному ремонту внутри поселковой автомобильной дороги по ул. Гагарина, протяжённостью 1900 м в станице Обливской на сумму 79,0 млн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В жилищно-коммунальном секторе: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– в рамках реализации муниципальной программы </w:t>
      </w:r>
      <w:r>
        <w:rPr>
          <w:rFonts w:ascii="Times New Roman" w:hAnsi="Times New Roman"/>
          <w:sz w:val="44"/>
        </w:rPr>
        <w:t>«Комплексное развитие сельских территорий»</w:t>
      </w:r>
      <w:r>
        <w:rPr>
          <w:rFonts w:ascii="Times New Roman" w:hAnsi="Times New Roman"/>
          <w:color w:val="000000" w:themeColor="text1"/>
          <w:sz w:val="44"/>
        </w:rPr>
        <w:t xml:space="preserve"> начато строительство объекта: 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44"/>
        </w:rPr>
        <w:t xml:space="preserve">«Строительство водопроводных сетей водоснабжения  пос. Северный» на сумму 150,0 млн рублей.  Объем работ,  запланированный на            </w:t>
      </w:r>
      <w:r>
        <w:rPr>
          <w:rFonts w:ascii="Times New Roman" w:hAnsi="Times New Roman"/>
          <w:sz w:val="44"/>
        </w:rPr>
        <w:lastRenderedPageBreak/>
        <w:t xml:space="preserve">2023 год, выполнен по состоянию на 01.10.2023 на 100%, работы продолжаются.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 В рамках реализации муниципальной программы </w:t>
      </w:r>
      <w:r>
        <w:rPr>
          <w:rFonts w:ascii="Times New Roman" w:hAnsi="Times New Roman"/>
          <w:spacing w:val="-4"/>
          <w:sz w:val="44"/>
        </w:rPr>
        <w:t>«</w:t>
      </w:r>
      <w:r>
        <w:rPr>
          <w:rFonts w:ascii="Times New Roman" w:hAnsi="Times New Roman"/>
          <w:sz w:val="44"/>
        </w:rPr>
        <w:t>Обеспечение качественными   жилищно – коммунальными  услугами населения  Обливского района</w:t>
      </w:r>
      <w:r>
        <w:rPr>
          <w:rFonts w:ascii="Times New Roman" w:hAnsi="Times New Roman"/>
          <w:spacing w:val="-4"/>
          <w:sz w:val="44"/>
        </w:rPr>
        <w:t>», в</w:t>
      </w:r>
      <w:r>
        <w:rPr>
          <w:rFonts w:ascii="Times New Roman" w:hAnsi="Times New Roman"/>
          <w:color w:val="000000" w:themeColor="text1"/>
          <w:sz w:val="44"/>
        </w:rPr>
        <w:t xml:space="preserve"> текущем году:</w:t>
      </w:r>
    </w:p>
    <w:p w:rsidR="008E6CE7" w:rsidRDefault="0002159E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- продолжается разработка проектно-сметной документации по объекту: «Реконструкция системы водоснабжения ст. Обливской (1 этап)». Срок выполнения работ декабрь 2023 года. После определения стоимости реконструкции системы водоснабжения ст. Обливской, Администрацией района в адрес Губернатора Ростовской области будет направлено обращение о финансировании данных видов работ, с учетом софинансирования из местного бюджета;     </w:t>
      </w:r>
    </w:p>
    <w:p w:rsidR="008E6CE7" w:rsidRDefault="0002159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sz w:val="44"/>
        </w:rPr>
        <w:t xml:space="preserve">за счет средств местного бюджета разработана сметная документация и получено положительное заключение государственной экспертизы                  № 61-1-1-2-042191-2023 от 20.07.2023 по объекту: «Капитальный ремонт водопроводных сетей                х. Алексеевский», направлено обращение в адрес Губернатора Ростовской области </w:t>
      </w:r>
      <w:r>
        <w:rPr>
          <w:rFonts w:ascii="Times New Roman" w:hAnsi="Times New Roman"/>
          <w:color w:val="000000" w:themeColor="text1"/>
          <w:sz w:val="44"/>
        </w:rPr>
        <w:t xml:space="preserve">обращение о финансировании данных видов работ, с учетом софинансирования из местного бюджета;   </w:t>
      </w:r>
    </w:p>
    <w:p w:rsidR="008E6CE7" w:rsidRDefault="0002159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 xml:space="preserve"> за счет средств местного бюджета разработана сметная документация и получено положительное </w:t>
      </w:r>
      <w:r>
        <w:rPr>
          <w:rFonts w:ascii="Times New Roman" w:hAnsi="Times New Roman"/>
          <w:sz w:val="44"/>
        </w:rPr>
        <w:lastRenderedPageBreak/>
        <w:t>заключение государственной  экспертизы № 61-1-1-2-042190-2023 от 20.07.2023 по объекту: «Капитальный ремонт водопроводных сетей пос. Каштановский».</w:t>
      </w:r>
    </w:p>
    <w:p w:rsidR="008E6CE7" w:rsidRDefault="008E6CE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 рамках реализации муниципальной программы «Охрана окружающей среды и рациональное природопользование» в текущем году продолжаются работы по выполнению проектных и  изыскательских работ по объекту: «Рекультивация нарушенных земель кадастровый номер 61:27:0600013:888, по адресу: РФ, Ростовская область, Обливский район, в 400 метрах на север от ст. Обливская». Срок реализации данного мероприятия декабрь 2023 года. После определения стоимости работ, в адрес Губернатора Ростовской области будет направлено обращение о финансировании дальнейших работ, с учетом софинансирования из местного бюджета.  </w:t>
      </w:r>
    </w:p>
    <w:p w:rsidR="008E6CE7" w:rsidRDefault="008E6CE7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</w:p>
    <w:p w:rsidR="00755B1F" w:rsidRDefault="00755B1F" w:rsidP="00755B1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 xml:space="preserve">      </w:t>
      </w:r>
      <w:r>
        <w:rPr>
          <w:rFonts w:ascii="Times New Roman" w:hAnsi="Times New Roman"/>
          <w:color w:val="000000" w:themeColor="text1"/>
          <w:sz w:val="44"/>
        </w:rPr>
        <w:t xml:space="preserve">Сфера </w:t>
      </w:r>
      <w:r>
        <w:rPr>
          <w:rFonts w:ascii="Times New Roman" w:hAnsi="Times New Roman"/>
          <w:b/>
          <w:color w:val="000000" w:themeColor="text1"/>
          <w:sz w:val="44"/>
        </w:rPr>
        <w:t>культуры</w:t>
      </w:r>
      <w:r>
        <w:rPr>
          <w:rFonts w:ascii="Times New Roman" w:hAnsi="Times New Roman"/>
          <w:color w:val="000000" w:themeColor="text1"/>
          <w:sz w:val="44"/>
        </w:rPr>
        <w:t xml:space="preserve"> является неотъемлемым элементом социально-экономического развития территории.</w:t>
      </w:r>
    </w:p>
    <w:p w:rsid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 xml:space="preserve">Сеть учреждений культуры Обливского района по состоянию   составляют 29  учреждений, из них 11 – юридические лица. 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lastRenderedPageBreak/>
        <w:t>В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>детской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>музыкальной школе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 xml:space="preserve"> обучается 151 человек по 8 направлениям (что составляет 9,8 процентов охвата дополнительным эстетическим образованием).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Постоянными участниками культурно-досуговых  формирований являются более 2000 человек.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Постоянными пользователями библиотек района являются более 5000 тысяч читателей.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В краеведческом музее насчитывается 4068 предметов.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 xml:space="preserve">Консолидированный бюджет в сфере культуры за 2023 год составил 87,4 млн рублей, из них средства областного и федерального  бюджета в сумме  17,1  млн рублей  70,3  млн рублей средства местного бюджета. 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 xml:space="preserve">В основном данные расходы направлены на исполнение муниципальных заданий учреждений. 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В рамках  реализации  Регионального проекта  «Обеспечение качественно нового уровня развития инфраструктуры культуры («Культурная среда») на капитальный ремонт внутренних помещений Обливский детской музыкальной школы  направлено  11 253,7 тыс. рублей.  Работы выполнены в полном объеме и своевременно.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 xml:space="preserve">В рамках реализации Регионального проекта «Создание условий для реализации творческого потенциала  нации (Творческие люди)»  выделены денежные средства в сумме  363,9  тыс. рублей на  </w:t>
      </w:r>
      <w:r w:rsidRPr="00755B1F">
        <w:rPr>
          <w:rFonts w:ascii="Times New Roman" w:hAnsi="Times New Roman"/>
          <w:color w:val="000000" w:themeColor="text1"/>
          <w:sz w:val="44"/>
        </w:rPr>
        <w:lastRenderedPageBreak/>
        <w:t>Государственную поддержку лучшим сельским учреждениям культуры и их работникам.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>В результате чего в  Межпоселенческую центральную библиотеку приобретены  компь</w:t>
      </w:r>
      <w:r>
        <w:rPr>
          <w:rFonts w:ascii="Times New Roman" w:hAnsi="Times New Roman"/>
          <w:color w:val="000000" w:themeColor="text1"/>
          <w:sz w:val="44"/>
        </w:rPr>
        <w:t>ю</w:t>
      </w:r>
      <w:r w:rsidRPr="00755B1F">
        <w:rPr>
          <w:rFonts w:ascii="Times New Roman" w:hAnsi="Times New Roman"/>
          <w:color w:val="000000" w:themeColor="text1"/>
          <w:sz w:val="44"/>
        </w:rPr>
        <w:t>терный планшет, оргтехника, микрофонная стойка  мебель   на сумму 121,3 тыс. руб</w:t>
      </w:r>
      <w:r>
        <w:rPr>
          <w:rFonts w:ascii="Times New Roman" w:hAnsi="Times New Roman"/>
          <w:color w:val="000000" w:themeColor="text1"/>
          <w:sz w:val="44"/>
        </w:rPr>
        <w:t>лей</w:t>
      </w:r>
      <w:r w:rsidRPr="00755B1F">
        <w:rPr>
          <w:rFonts w:ascii="Times New Roman" w:hAnsi="Times New Roman"/>
          <w:color w:val="000000" w:themeColor="text1"/>
          <w:sz w:val="44"/>
        </w:rPr>
        <w:t>. На такую же сумму для  Обливского краеведческого  музея» приобретены сплит-система, ноутбук, банкетки,  ламинатор документов, рулонные жалюзи, куллер для воды.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Произведены денежные выплаты  по 60,6 тыс. рублей 1 работнику  Обливского районного Дома культуры и 1 работнику Межпоселенческой  центральной библиотеки.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 xml:space="preserve">Девять </w:t>
      </w:r>
      <w:r>
        <w:rPr>
          <w:rFonts w:ascii="Times New Roman" w:hAnsi="Times New Roman"/>
          <w:color w:val="000000" w:themeColor="text1"/>
          <w:sz w:val="44"/>
        </w:rPr>
        <w:t>с</w:t>
      </w:r>
      <w:bookmarkStart w:id="0" w:name="_GoBack"/>
      <w:bookmarkEnd w:id="0"/>
      <w:r w:rsidRPr="00755B1F">
        <w:rPr>
          <w:rFonts w:ascii="Times New Roman" w:hAnsi="Times New Roman"/>
          <w:color w:val="000000" w:themeColor="text1"/>
          <w:sz w:val="44"/>
        </w:rPr>
        <w:t xml:space="preserve">отрудников муниципальных учреждений культуры Обливского района успешно прошли повышение квалификации по дополнительным профессиональным образовательным программам в рамках Национального проекта «Культура» («Творческие люди») на базе Челябинского государственного института культуры, Российского института театрального искусства – ГИТИС, Кемеровского государственного института культуры, Краснодарского государственного института культуры.        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За счет средств резервного фонда Правительства Ростовской области в Обливском  районном Доме культуры    установлены сплит-системы в большом и малом актовых залах и трех кабинетах культурно-</w:t>
      </w:r>
      <w:r w:rsidRPr="00755B1F">
        <w:rPr>
          <w:rFonts w:ascii="Times New Roman" w:hAnsi="Times New Roman"/>
          <w:color w:val="000000" w:themeColor="text1"/>
          <w:sz w:val="44"/>
        </w:rPr>
        <w:lastRenderedPageBreak/>
        <w:t>досуговых формирований на сумму на сумму 690,5 тыс.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>руб</w:t>
      </w:r>
      <w:r>
        <w:rPr>
          <w:rFonts w:ascii="Times New Roman" w:hAnsi="Times New Roman"/>
          <w:color w:val="000000" w:themeColor="text1"/>
          <w:sz w:val="44"/>
        </w:rPr>
        <w:t>лей</w:t>
      </w:r>
      <w:r w:rsidRPr="00755B1F">
        <w:rPr>
          <w:rFonts w:ascii="Times New Roman" w:hAnsi="Times New Roman"/>
          <w:color w:val="000000" w:themeColor="text1"/>
          <w:sz w:val="44"/>
        </w:rPr>
        <w:t>. В Караичевский центральный сельский Дом культуры приобретена  гармонь на 52,5 тыс.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>руб</w:t>
      </w:r>
      <w:r>
        <w:rPr>
          <w:rFonts w:ascii="Times New Roman" w:hAnsi="Times New Roman"/>
          <w:color w:val="000000" w:themeColor="text1"/>
          <w:sz w:val="44"/>
        </w:rPr>
        <w:t>лей</w:t>
      </w:r>
      <w:r w:rsidRPr="00755B1F">
        <w:rPr>
          <w:rFonts w:ascii="Times New Roman" w:hAnsi="Times New Roman"/>
          <w:color w:val="000000" w:themeColor="text1"/>
          <w:sz w:val="44"/>
        </w:rPr>
        <w:t>. На оснащение детской музыкальной школы после капремонта выделены денежные средства в сумме  5041, 9 тыс.</w:t>
      </w:r>
      <w:r>
        <w:rPr>
          <w:rFonts w:ascii="Times New Roman" w:hAnsi="Times New Roman"/>
          <w:color w:val="000000" w:themeColor="text1"/>
          <w:sz w:val="44"/>
        </w:rPr>
        <w:t xml:space="preserve"> </w:t>
      </w:r>
      <w:r w:rsidRPr="00755B1F">
        <w:rPr>
          <w:rFonts w:ascii="Times New Roman" w:hAnsi="Times New Roman"/>
          <w:color w:val="000000" w:themeColor="text1"/>
          <w:sz w:val="44"/>
        </w:rPr>
        <w:t>руб</w:t>
      </w:r>
      <w:r>
        <w:rPr>
          <w:rFonts w:ascii="Times New Roman" w:hAnsi="Times New Roman"/>
          <w:color w:val="000000" w:themeColor="text1"/>
          <w:sz w:val="44"/>
        </w:rPr>
        <w:t>лей</w:t>
      </w:r>
      <w:r w:rsidRPr="00755B1F">
        <w:rPr>
          <w:rFonts w:ascii="Times New Roman" w:hAnsi="Times New Roman"/>
          <w:color w:val="000000" w:themeColor="text1"/>
          <w:sz w:val="44"/>
        </w:rPr>
        <w:t xml:space="preserve">. В настоящий момент начаты закупочные процедуры  и до конца текущего года будут  приобретены мебель, хоровые станки, музыкальные инструменты, доски магнитные, кресла, мультимедийное  оборудование и сплит-система. </w:t>
      </w:r>
    </w:p>
    <w:p w:rsidR="00755B1F" w:rsidRP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Так же за счет средств федерального,  областного и местного бюджетов на сумму  183,7 тыс. рублей приобретена  книжная продукция и по итогам 2023 года  книжный   фонд  наших библиотек пополнился на 432  издания.</w:t>
      </w:r>
    </w:p>
    <w:p w:rsidR="00755B1F" w:rsidRDefault="00755B1F" w:rsidP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 w:rsidRPr="00755B1F">
        <w:rPr>
          <w:rFonts w:ascii="Times New Roman" w:hAnsi="Times New Roman"/>
          <w:color w:val="000000" w:themeColor="text1"/>
          <w:sz w:val="44"/>
        </w:rPr>
        <w:t>На проведение культурно-массовых мероприятий направлено    чуть более   300,0 тыс. рублей.</w:t>
      </w:r>
    </w:p>
    <w:p w:rsidR="00755B1F" w:rsidRDefault="00755B1F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Особое внимание в районе уделяется  развитию </w:t>
      </w:r>
      <w:r>
        <w:rPr>
          <w:rFonts w:ascii="Times New Roman" w:hAnsi="Times New Roman"/>
          <w:b/>
          <w:color w:val="000000" w:themeColor="text1"/>
          <w:sz w:val="44"/>
        </w:rPr>
        <w:t>образования.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Приоритетными направлениями развития в сфере образования в 2023 году стали: обеспечение качественного образовательного процесса в  муниципальных образовательных организациях Обливского района, безопасной, комфортной образовательной среды, современных условий </w:t>
      </w:r>
      <w:r>
        <w:rPr>
          <w:rFonts w:ascii="Times New Roman" w:hAnsi="Times New Roman"/>
          <w:color w:val="000000" w:themeColor="text1"/>
          <w:sz w:val="44"/>
        </w:rPr>
        <w:lastRenderedPageBreak/>
        <w:t xml:space="preserve">обучения,  рациональное использование финансовых и материальных ресурсов для укрепления материально-технической базы учреждений. 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Система образования в 2023-2024 учебном году включает 12 школ, в которых обучается 1618 учащихся; 4 детских сада и 8 дошкольных группах при школах, где  получают образование более 430 воспитанников.  Отсутствует актуальная очередь в дошкольные учреждения. Обеспеченность услугой  составляет 100%.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Программы дополнительного образования реализуются в 3 учреждениях дополнительного образования, 6 школах и 3 детских садах, имеющих лицензии на право реализации дополнительных общеразвивающих программ. Охват детей дополнительным образованием в этом году составляет 79 % и соответствует среднеобластному показателю. Предусмотрено увеличение доли детей от 5 до 18 лет, охваченных дополнительным образованием, к 2024 году до 80% за счет введения новых направлений деятельности.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 сфере образования Обливского района в 2023 году занято 512 человек, из них педагогических работников – 231  человек. 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 2023 году получили аттестаты об основном и среднем  общем образовании  169  выпускников 9-х классов(100%) и 45 выпускников 11-х </w:t>
      </w:r>
      <w:r>
        <w:rPr>
          <w:rFonts w:ascii="Times New Roman" w:hAnsi="Times New Roman"/>
          <w:color w:val="000000" w:themeColor="text1"/>
          <w:sz w:val="44"/>
        </w:rPr>
        <w:lastRenderedPageBreak/>
        <w:t>классов(100%). Были награждены медалями «За особые успехи в учении» 10 выпускников школ района,  «За особые успехи выпускнику Дона»–                        6 выпускников.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13 выпускников 9-х классов получили аттестаты об основном общем образовании с отличием.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образовательных учреждениях района работают 25 педагогов, удостоенные: званий «Заслуженный учитель Российской Федерации», «Лучший работник образования Дона»; медали «За доблестный труд на благо Донского края»; знаков «Почетный работник сферы образования Российской Федерации».</w:t>
      </w:r>
      <w:r>
        <w:rPr>
          <w:rFonts w:ascii="Times New Roman" w:hAnsi="Times New Roman"/>
          <w:color w:val="000000" w:themeColor="text1"/>
          <w:sz w:val="40"/>
        </w:rPr>
        <w:t>«Почетный работник сферы воспитания детей и молодежи  Российской Федерации».</w:t>
      </w:r>
      <w:r>
        <w:rPr>
          <w:rFonts w:ascii="Times New Roman" w:hAnsi="Times New Roman"/>
          <w:color w:val="000000" w:themeColor="text1"/>
          <w:sz w:val="44"/>
        </w:rPr>
        <w:t xml:space="preserve"> Почетными грамотами министерства образования и науки РФ и Благодарственными письмами минобразования Ростовской области награждены 194 педагога. Высшую квалификационную категорию имеют 145 педагогов, первую – 75 педагогов. 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 2023 году за счет средств областного и местного бюджетов завершен капитальный ремонт Детского сада «Сказка» на сумму 114,5 млн рублей, обеспечено его полное оснащение современными  мебелью, оборудованием, инвентарем на сумму 12 410,5 тыс. рублей. 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lastRenderedPageBreak/>
        <w:t>В 2023 году начат капитальный ремонт Обливской СОШ №2 на общую сумму 450,7 млн руб., который завершится в ноябре 2025 году. На текущую дату освоено 49,5 млн рублей.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2023 году газифицирована Солонецкая СОШ общий объем расходов составил около 5,0 млн рублей.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За счет средств местного бюджета на сумму более 9,0 млн рублей в 2023 году проведены мероприятия по подготовке образовательных учреждений к осенне-зимнему периоду 2023-2024 года, текущие ремонты в рамках подготовки к началу нового учебного года, замене отопительных котлов, мероприятия  по антитеррористической и пожарной безопасности объектов образования в соответствии с требованиями законодательства РФ,   </w:t>
      </w:r>
      <w:r>
        <w:rPr>
          <w:rFonts w:ascii="Times New Roman" w:hAnsi="Times New Roman"/>
          <w:color w:val="000000" w:themeColor="text1"/>
          <w:sz w:val="44"/>
        </w:rPr>
        <w:tab/>
        <w:t xml:space="preserve">Для исполнения социально-значимых мероприятий в сфере образования   по обращению Администрации Обливского района Губернатором Ростовской области В.Ю. Голубевым из резервного  фонда Правительства Ростовской области в           2023 году дополнительно выделено 5,0 млн рублей. Были  реализованы мероприятия, позволившие укрепить материально-техническую базу </w:t>
      </w:r>
      <w:r>
        <w:rPr>
          <w:rFonts w:ascii="Times New Roman" w:hAnsi="Times New Roman"/>
          <w:color w:val="000000" w:themeColor="text1"/>
          <w:sz w:val="44"/>
        </w:rPr>
        <w:lastRenderedPageBreak/>
        <w:t>образовательных учреждений и повысить качество предоставляемых образовательных услуг: оснащены уличные прогулочные площадки детских садов «Ивушка» и «Солнышко» детским игровым оборудованием, а также закуплено оборудование для пищеблока Алексеевской школы.</w:t>
      </w:r>
      <w:r w:rsidR="00FB06B9">
        <w:rPr>
          <w:rFonts w:ascii="Times New Roman" w:hAnsi="Times New Roman"/>
          <w:color w:val="000000" w:themeColor="text1"/>
          <w:sz w:val="44"/>
        </w:rPr>
        <w:t xml:space="preserve"> </w:t>
      </w:r>
      <w:r>
        <w:rPr>
          <w:rFonts w:ascii="Times New Roman" w:hAnsi="Times New Roman"/>
          <w:color w:val="000000" w:themeColor="text1"/>
          <w:sz w:val="44"/>
        </w:rPr>
        <w:t>Правительством Ростовской области в 2023 году были выделены дополнительные средства в общеобразовательные учреждения Обливского района в сумме 5117,7 тыс. рублей для приобретения учебников, учебники закуплены и переданы в пользование учащимся.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рамках федерального проекта «Современная школа» национального проекта «Образование»  в 2023 году в  Алексеевской школе открыт центр «Точка роста» и поставлено оборудование на сумму 1,0 млн рублей. За счет средств местного бюджета произведен текущий ремонт кабинетов для Точки роста на сумму 351,6 тыс. рублей.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Во исполнение поручения Президента Российской Федерации Федеральному Собранию с 01.09.2021 во всех школах района  предоставляются бесплатные горячие завтраки для 655 обучающихся 1-4 классов. В текущем году на эти цели направлено 7,5 млн рублей.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  <w:highlight w:val="white"/>
        </w:rPr>
        <w:lastRenderedPageBreak/>
        <w:t xml:space="preserve">Во исполнение перечня поручений Президента </w:t>
      </w:r>
      <w:r>
        <w:rPr>
          <w:rFonts w:ascii="Times New Roman" w:hAnsi="Times New Roman"/>
          <w:color w:val="000000" w:themeColor="text1"/>
          <w:sz w:val="44"/>
        </w:rPr>
        <w:t>Российской Федерации №</w:t>
      </w:r>
      <w:r>
        <w:rPr>
          <w:rFonts w:ascii="Times New Roman" w:hAnsi="Times New Roman"/>
          <w:color w:val="000000" w:themeColor="text1"/>
          <w:sz w:val="44"/>
          <w:highlight w:val="white"/>
        </w:rPr>
        <w:t> Пр-1117 от  26 июня 2022 года по итогам заседания наблюдательного совета АНО «Россия – страна возможностей»</w:t>
      </w:r>
      <w:r>
        <w:rPr>
          <w:rFonts w:ascii="Times New Roman" w:hAnsi="Times New Roman"/>
          <w:color w:val="000000" w:themeColor="text1"/>
          <w:sz w:val="44"/>
        </w:rPr>
        <w:t xml:space="preserve"> с 01.09.2022 во всех школах района</w:t>
      </w:r>
      <w:r>
        <w:rPr>
          <w:rFonts w:ascii="Times New Roman" w:hAnsi="Times New Roman"/>
          <w:color w:val="000000" w:themeColor="text1"/>
          <w:sz w:val="44"/>
          <w:highlight w:val="white"/>
        </w:rPr>
        <w:t xml:space="preserve"> организована работа советников директоров по воспитанию и взаимодействию с детскими общественными объединениями. В этом году расходы на организацию работы составили  1,2 млн рублей.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текущем году победители губернаторского проекта  «Сделаем вместе» Обливская ДЮСШ и Солонецкая СОШ получили субсидии и приобрели: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спортивное оборудование и инвентарь, компьютерное оборудование и мебель для оснащения муниципального центра тестирования ВФСК «ГТО» на сумму 1 296,6 тыс. рублей;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оборудование для создания мультимедийной интерактивной экспозиции «В краю Тихого Дона» на сумму 535,6 тыс. рублей. </w:t>
      </w:r>
    </w:p>
    <w:p w:rsidR="008E6CE7" w:rsidRDefault="0002159E">
      <w:pPr>
        <w:ind w:firstLine="708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Победителем конкурсного отбора на оказание финансовой поддержки из областного бюджета на сумму 1,3 млн рублей  в 2023 году стал детский сад «Ивушка» с проектом «Приобретение </w:t>
      </w:r>
      <w:r>
        <w:rPr>
          <w:rFonts w:ascii="Times New Roman" w:hAnsi="Times New Roman"/>
          <w:color w:val="000000" w:themeColor="text1"/>
          <w:sz w:val="44"/>
        </w:rPr>
        <w:lastRenderedPageBreak/>
        <w:t xml:space="preserve">интерактивного оборудования, музыкальных инструментов, детских казачьих костюмов, методических и  дидактических пособий и игр для оснащения центра духовно-нравственного воспитания на основе традиций донского казачества».  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целях исполнения Перечня поручений по реализации Послания Президента Российской Федерации Федеральному Собранию 112 классных руководителей получают ежемесячную доплату в размере 5,0 тыс. рублей.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2023 году также освоена  100% субсидия на оздоровление детей в каникулярный период весна-лето в сумме 1363,9 тыс. рублей, оздоровлено          1314 детей от 5 до 18 лет.</w:t>
      </w:r>
    </w:p>
    <w:p w:rsidR="008E6CE7" w:rsidRDefault="0002159E">
      <w:pPr>
        <w:spacing w:after="12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С сентября 2023 года в рамках региональной апробации в учреждениях дополнительного образования Обливского района реализуется социальный заказ, выдано 579 социальных сертификатов  на общую сумму 1065,4 тыс. рублей, что составило 25 % -ый охват от общей численности детей от 5 до 18 лет.</w:t>
      </w:r>
    </w:p>
    <w:p w:rsidR="008E6CE7" w:rsidRDefault="008E6CE7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Огромное значение для социально уязвимых категорий граждан имеет </w:t>
      </w:r>
      <w:r>
        <w:rPr>
          <w:rFonts w:ascii="Times New Roman" w:hAnsi="Times New Roman"/>
          <w:b/>
          <w:color w:val="000000" w:themeColor="text1"/>
          <w:sz w:val="44"/>
        </w:rPr>
        <w:t xml:space="preserve">социальная поддержка населения.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lastRenderedPageBreak/>
        <w:t>В Обливском районе четвертая часть населения пользуется мерами социальной поддержки.  Всего в районе предоставляется более 50 мер социальной поддержки, которыми охвачено около 5,5 тысяч человек.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На эти цели в отчетном периоде по всем направлениям деятельности запланировано           277,6 млн рублей, израсходовано – 238,7 млн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В рамках национального проекта «Демография» предусмотрена выплата четырех пособий семьям с детьми. На реализацию проекта в 2023 году запланировано 22,6 млн рублей, израсходовано –  11,6 млн рублей.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Ежемесячной денежной выплатой на ребенка в возрасте от трех до семи лет включительно  охвачено 429 детей района, израсходовано за истекший период – 32,3 млн рублей. 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170 многодетных семей в Обливском районе получают ежемесячную денежную выплату на каждого ребенка и компенсацию расходов на оплату коммунальных услуг. На эти цели израсходовано           3,2 млн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На организацию и обеспечение отдыха и оздоровления детей в отчетном году израсходовано 6,1 млн рублей. В санаторно-оздоровительных лагерях Ростовской области и оздоровительном </w:t>
      </w:r>
      <w:r>
        <w:rPr>
          <w:rFonts w:ascii="Times New Roman" w:hAnsi="Times New Roman"/>
          <w:color w:val="000000" w:themeColor="text1"/>
          <w:sz w:val="44"/>
        </w:rPr>
        <w:lastRenderedPageBreak/>
        <w:t>лагере Обливского района в 2023 году оздоровилось         209 детей из малоимущих семей.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Адресную социальную помощь в текущем году получили 613 человек на общую сумму  15,1 млн рублей, в том числе на основании социального контракта – 53 человека на сумму 11,0 млн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Для проведения диспансеризации осуществлялась доставка лиц старше 65 лет в Обливскую ЦРБ. В истекшем периоде услугой воспользовались  1471 гражданин данной категории.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На финансовое обеспечение выполнения муниципального задания на оказание муниципальных услуг ЦСО  Обливского района израсходовано 60,2 млн рублей, в том числе в рамках национального проекта «Старшее поколение» - 10,1 млн рублей;  оказано   более           1,0 млн социальных услуг 881 гражданам. В социально-реабилитационном отделении  обслуживается 22 человека, работают две  мобильные бригады для удовлетворения потребностей граждан в социальных услугах, которые оснащены двумя единицами  автомобильного транспорта, услуга предоставлена 714 гражданам.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С 1 января 2023 года в районе функционирует социально-реабилитационное отделение дневного пребывания на базе МБУ ЦСО Обливского района, </w:t>
      </w:r>
      <w:r>
        <w:rPr>
          <w:rFonts w:ascii="Times New Roman" w:hAnsi="Times New Roman"/>
          <w:color w:val="000000" w:themeColor="text1"/>
          <w:sz w:val="44"/>
        </w:rPr>
        <w:lastRenderedPageBreak/>
        <w:t>которое относится к полустационарному типу,  оказывает комплекс социальных услуг, направленных на социокультурную, бытовую, медицинскую, психологическую реабилитацию и адаптацию граждан пожилого возраста и инвалидов. За истекший период 2023 года услуги получил        41 гражданин пожилого возраста, в том числе               19 инвалидов.</w:t>
      </w:r>
    </w:p>
    <w:p w:rsidR="008E6CE7" w:rsidRDefault="008E6CE7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Значимым направлением в деятельности Администрации района является развитие районного </w:t>
      </w:r>
      <w:r>
        <w:rPr>
          <w:rFonts w:ascii="Times New Roman" w:hAnsi="Times New Roman"/>
          <w:b/>
          <w:color w:val="000000" w:themeColor="text1"/>
          <w:sz w:val="44"/>
        </w:rPr>
        <w:t>многофункционального центра.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Многофункциональный центр Обливского района обеспечивает предоставление государственных и муниципальных услуг по принципу «одного окна».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В центральном офисе МФЦ действует 6 окон для приема заявителей  1 окно консультирования, в четырех сельских поселениях района организованы территориально обособленные структурные подразделения МФЦ, которые расположены в хуторах Солонецкий, Караичев, Алексеевский и Александровский. В 2 сельских поселениях района</w:t>
      </w:r>
      <w:r>
        <w:rPr>
          <w:color w:val="000000" w:themeColor="text1"/>
        </w:rPr>
        <w:t xml:space="preserve"> –</w:t>
      </w:r>
      <w:r>
        <w:rPr>
          <w:rFonts w:ascii="Times New Roman" w:hAnsi="Times New Roman"/>
          <w:color w:val="000000" w:themeColor="text1"/>
          <w:sz w:val="44"/>
        </w:rPr>
        <w:t xml:space="preserve"> в хуторе Нестеркин и поселке Каштановский  организовано выездное обслуживание работниками МФЦ.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lastRenderedPageBreak/>
        <w:t>Для удобства жителей нашего района в целях получения государственных и муниципальных услуг в электронном виде в центральном офисе МФЦ с января текущего года было организовано 1 рабочее место сектора пользовательского сопровождения, где каждому гражданину оказывается консультационная помощь сотрудника МФЦ, есть возможность сканирования и печати документов.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На сегодняшний день на базе МФЦ организовано оказание 210 государственных,  муниципальных и иных  услуг. За 10 месяцев 2023 года специалистами МФЦ было обслужено 6205 человек, принято от граждан 17130 дел по услугам и оказано                      2680 консультаций.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Государственная пошлина, поступившая в район от оказанных услуг на базе МФЦ, за 9 месяцев этого года составила 588,7 тыс. рублей.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За счет средств местного бюджета было произведено обновление материально-технической базы МФЦ на сумму 77,2 тыс. руб., приобретены системный блок, мониторы, источники бесперебойного питания.</w:t>
      </w:r>
    </w:p>
    <w:p w:rsidR="008E6CE7" w:rsidRDefault="008E6CE7">
      <w:pPr>
        <w:spacing w:after="120" w:line="240" w:lineRule="auto"/>
        <w:ind w:firstLine="709"/>
        <w:rPr>
          <w:rFonts w:ascii="Times New Roman" w:hAnsi="Times New Roman"/>
          <w:color w:val="000000" w:themeColor="text1"/>
          <w:sz w:val="20"/>
        </w:rPr>
      </w:pP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 xml:space="preserve">Подводя итоги работы за отчетный период, необходимо отметить, что у нас еще много дел и нерешенных задач. Но мы не стоим на месте.  </w:t>
      </w:r>
      <w:r>
        <w:rPr>
          <w:rFonts w:ascii="Times New Roman" w:hAnsi="Times New Roman"/>
          <w:color w:val="000000" w:themeColor="text1"/>
          <w:sz w:val="44"/>
        </w:rPr>
        <w:lastRenderedPageBreak/>
        <w:t xml:space="preserve">Главная цель в работе – повышение качества уровня жизни населения, достижение результатов в реализации намеченных социальных программ. </w:t>
      </w:r>
    </w:p>
    <w:p w:rsidR="008E6CE7" w:rsidRDefault="0002159E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44"/>
        </w:rPr>
      </w:pPr>
      <w:r>
        <w:rPr>
          <w:rFonts w:ascii="Times New Roman" w:hAnsi="Times New Roman"/>
          <w:color w:val="000000" w:themeColor="text1"/>
          <w:sz w:val="44"/>
        </w:rPr>
        <w:t>Слова благодарности всем жителям района и депутатскому корпусу за  понимание, доверие и активное участие в жизни нашего района. Ведь только вместе мы сможем добиться тех высоких целей, которые ставим перед собой. Вера в свои силы, энтузиазм, ответственность помогут осуществить все планы, сделать нашу жизнь более интересной, насыщенной и яркой.</w:t>
      </w:r>
    </w:p>
    <w:sectPr w:rsidR="008E6CE7">
      <w:headerReference w:type="default" r:id="rId8"/>
      <w:pgSz w:w="11906" w:h="16838"/>
      <w:pgMar w:top="1134" w:right="566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4D1" w:rsidRDefault="000754D1">
      <w:pPr>
        <w:spacing w:after="0" w:line="240" w:lineRule="auto"/>
      </w:pPr>
      <w:r>
        <w:separator/>
      </w:r>
    </w:p>
  </w:endnote>
  <w:endnote w:type="continuationSeparator" w:id="0">
    <w:p w:rsidR="000754D1" w:rsidRDefault="0007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4D1" w:rsidRDefault="000754D1">
      <w:pPr>
        <w:spacing w:after="0" w:line="240" w:lineRule="auto"/>
      </w:pPr>
      <w:r>
        <w:separator/>
      </w:r>
    </w:p>
  </w:footnote>
  <w:footnote w:type="continuationSeparator" w:id="0">
    <w:p w:rsidR="000754D1" w:rsidRDefault="0007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CE7" w:rsidRDefault="0002159E">
    <w:pPr>
      <w:framePr w:wrap="around" w:vAnchor="text" w:hAnchor="margin" w:xAlign="center" w:y="1"/>
    </w:pPr>
    <w:r>
      <w:rPr>
        <w:sz w:val="44"/>
      </w:rPr>
      <w:fldChar w:fldCharType="begin"/>
    </w:r>
    <w:r>
      <w:rPr>
        <w:sz w:val="44"/>
      </w:rPr>
      <w:instrText xml:space="preserve">PAGE </w:instrText>
    </w:r>
    <w:r>
      <w:rPr>
        <w:sz w:val="44"/>
      </w:rPr>
      <w:fldChar w:fldCharType="separate"/>
    </w:r>
    <w:r w:rsidR="00755B1F">
      <w:rPr>
        <w:noProof/>
        <w:sz w:val="44"/>
      </w:rPr>
      <w:t>10</w:t>
    </w:r>
    <w:r>
      <w:rPr>
        <w:sz w:val="44"/>
      </w:rPr>
      <w:fldChar w:fldCharType="end"/>
    </w:r>
  </w:p>
  <w:p w:rsidR="008E6CE7" w:rsidRDefault="008E6CE7">
    <w:pPr>
      <w:pStyle w:val="a3"/>
      <w:jc w:val="center"/>
      <w:rPr>
        <w:sz w:val="44"/>
      </w:rPr>
    </w:pPr>
  </w:p>
  <w:p w:rsidR="008E6CE7" w:rsidRDefault="008E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76C1"/>
    <w:multiLevelType w:val="multilevel"/>
    <w:tmpl w:val="26D630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CE7"/>
    <w:rsid w:val="0002159E"/>
    <w:rsid w:val="000754D1"/>
    <w:rsid w:val="00755B1F"/>
    <w:rsid w:val="008E6CE7"/>
    <w:rsid w:val="00FB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23">
    <w:name w:val="Основной шрифт абзаца2"/>
  </w:style>
  <w:style w:type="paragraph" w:customStyle="1" w:styleId="210">
    <w:name w:val="Основной текст 21"/>
    <w:basedOn w:val="a"/>
    <w:link w:val="211"/>
    <w:pPr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3423</Words>
  <Characters>19513</Characters>
  <Application>Microsoft Office Word</Application>
  <DocSecurity>0</DocSecurity>
  <Lines>162</Lines>
  <Paragraphs>45</Paragraphs>
  <ScaleCrop>false</ScaleCrop>
  <Company>SPecialiST RePack</Company>
  <LinksUpToDate>false</LinksUpToDate>
  <CharactersWithSpaces>22891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K7-5</cp:lastModifiedBy>
  <cp:revision>5</cp:revision>
  <dcterms:created xsi:type="dcterms:W3CDTF">2023-11-02T11:13:00Z</dcterms:created>
  <dcterms:modified xsi:type="dcterms:W3CDTF">2023-11-03T10:30:00Z</dcterms:modified>
</cp:coreProperties>
</file>