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/>
        <w:jc w:val="center"/>
        <w:rPr>
          <w:sz w:val="24"/>
        </w:rPr>
      </w:pPr>
      <w:r>
        <w:drawing>
          <wp:inline>
            <wp:extent cx="694055" cy="913511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94055" cy="91351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widowControl w:val="0"/>
        <w:ind/>
        <w:jc w:val="right"/>
        <w:rPr>
          <w:sz w:val="24"/>
        </w:rPr>
      </w:pPr>
    </w:p>
    <w:p w14:paraId="03000000">
      <w:pPr>
        <w:widowControl w:val="0"/>
        <w:ind/>
        <w:jc w:val="center"/>
      </w:pPr>
      <w:r>
        <w:t xml:space="preserve">РОССИЙСКАЯ  ФЕДЕРАЦИЯ </w:t>
      </w:r>
    </w:p>
    <w:p w14:paraId="04000000">
      <w:pPr>
        <w:widowControl w:val="0"/>
        <w:ind/>
        <w:jc w:val="center"/>
      </w:pPr>
      <w:r>
        <w:t xml:space="preserve">РОСТОВСКАЯ  ОБЛАСТЬ </w:t>
      </w:r>
    </w:p>
    <w:p w14:paraId="05000000">
      <w:pPr>
        <w:widowControl w:val="0"/>
        <w:ind/>
        <w:jc w:val="center"/>
      </w:pPr>
      <w:r>
        <w:t xml:space="preserve">МУНИЦИПАЛЬНОЕ ОБРАЗОВАНИЕ «ОБЛИВСКИЙ РАЙОН» </w:t>
      </w:r>
    </w:p>
    <w:p w14:paraId="06000000">
      <w:pPr>
        <w:widowControl w:val="0"/>
        <w:ind/>
        <w:jc w:val="center"/>
      </w:pPr>
    </w:p>
    <w:p w14:paraId="07000000">
      <w:pPr>
        <w:widowControl w:val="0"/>
        <w:ind/>
        <w:jc w:val="center"/>
      </w:pPr>
      <w:r>
        <w:t xml:space="preserve">СОБРАНИЕ ДЕПУТАТОВ ОБЛИВСКОГО РАЙОНА </w:t>
      </w:r>
    </w:p>
    <w:p w14:paraId="08000000">
      <w:pPr>
        <w:ind/>
        <w:jc w:val="center"/>
      </w:pPr>
    </w:p>
    <w:p w14:paraId="09000000">
      <w:pPr>
        <w:ind/>
        <w:jc w:val="center"/>
      </w:pPr>
      <w:r>
        <w:t>РЕШЕНИЕ</w:t>
      </w:r>
    </w:p>
    <w:p w14:paraId="0A000000">
      <w:pPr>
        <w:ind/>
        <w:jc w:val="center"/>
      </w:pPr>
    </w:p>
    <w:p w14:paraId="0B000000">
      <w:pPr>
        <w:ind/>
        <w:jc w:val="center"/>
      </w:pPr>
      <w:r>
        <w:t>Об утверждении</w:t>
      </w:r>
      <w:r>
        <w:t xml:space="preserve"> перечня </w:t>
      </w:r>
      <w:r>
        <w:t xml:space="preserve"> </w:t>
      </w:r>
      <w:r>
        <w:t xml:space="preserve"> имущества </w:t>
      </w:r>
      <w:r>
        <w:t xml:space="preserve"> предлагаемого</w:t>
      </w:r>
      <w:r>
        <w:t xml:space="preserve"> к передаче </w:t>
      </w:r>
      <w:r>
        <w:t xml:space="preserve"> </w:t>
      </w:r>
      <w:r>
        <w:t>из</w:t>
      </w:r>
      <w:r>
        <w:t xml:space="preserve"> </w:t>
      </w:r>
      <w:r>
        <w:t>муниципальной</w:t>
      </w:r>
      <w:r>
        <w:t xml:space="preserve"> с</w:t>
      </w:r>
      <w:r>
        <w:t>обственности</w:t>
      </w:r>
      <w:r>
        <w:t xml:space="preserve"> муниципального образования «Обливский район»</w:t>
      </w:r>
      <w:r>
        <w:t xml:space="preserve"> </w:t>
      </w:r>
      <w:r>
        <w:t xml:space="preserve"> в </w:t>
      </w:r>
      <w:r>
        <w:t xml:space="preserve">собственность </w:t>
      </w:r>
      <w:r>
        <w:t>Российской Федерации</w:t>
      </w:r>
      <w:r>
        <w:t xml:space="preserve"> </w:t>
      </w:r>
      <w:r>
        <w:t xml:space="preserve"> </w:t>
      </w:r>
    </w:p>
    <w:p w14:paraId="0C000000">
      <w:pPr>
        <w:ind/>
        <w:jc w:val="center"/>
        <w:rPr>
          <w:b w:val="1"/>
        </w:rPr>
      </w:pPr>
    </w:p>
    <w:p w14:paraId="0D000000">
      <w:pPr>
        <w:tabs>
          <w:tab w:leader="none" w:pos="2700" w:val="left"/>
          <w:tab w:leader="none" w:pos="3420" w:val="left"/>
        </w:tabs>
        <w:ind/>
      </w:pPr>
      <w:r>
        <w:t xml:space="preserve">           Принято</w:t>
      </w:r>
    </w:p>
    <w:p w14:paraId="0E000000">
      <w:pPr>
        <w:tabs>
          <w:tab w:leader="none" w:pos="2700" w:val="left"/>
          <w:tab w:leader="none" w:pos="3420" w:val="left"/>
        </w:tabs>
        <w:ind/>
      </w:pPr>
      <w:r>
        <w:t>Собранием депутатов</w:t>
      </w:r>
      <w:r>
        <w:tab/>
      </w:r>
      <w:r>
        <w:tab/>
      </w:r>
      <w:r>
        <w:tab/>
      </w:r>
      <w:r>
        <w:t xml:space="preserve">                    </w:t>
      </w:r>
      <w:r>
        <w:tab/>
      </w:r>
      <w:r>
        <w:t xml:space="preserve">                  </w:t>
      </w:r>
      <w:r>
        <w:t xml:space="preserve">               </w:t>
      </w:r>
      <w:r>
        <w:t xml:space="preserve">   20</w:t>
      </w:r>
      <w:r>
        <w:t>.02.2025</w:t>
      </w:r>
      <w:r>
        <w:t xml:space="preserve"> года</w:t>
      </w:r>
    </w:p>
    <w:p w14:paraId="0F000000">
      <w:pPr>
        <w:ind/>
        <w:jc w:val="both"/>
      </w:pPr>
    </w:p>
    <w:p w14:paraId="10000000">
      <w:pPr>
        <w:ind w:firstLine="708" w:left="0"/>
        <w:jc w:val="both"/>
      </w:pPr>
      <w:r>
        <w:t xml:space="preserve">В соответствии с частью 11 статьи 154 Федерального закона </w:t>
      </w:r>
      <w:r>
        <w:t xml:space="preserve">от 22.08.2004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13 июня 2006 № 374 «О перечнях документов, необходимых для принятии решения о передаче имущества из федеральной собственности  в собственность </w:t>
      </w:r>
      <w:r>
        <w:t>субъекта Российской Федерации или муниципальную собственность, из собственности субъекта Российской Федерации в федеральную собственность или муни</w:t>
      </w:r>
      <w:r>
        <w:t>ципальную собственность, из муниципальной собственности в федеральную собственность  или собственность субъект</w:t>
      </w:r>
      <w:r>
        <w:t>а Российской Федерации»</w:t>
      </w:r>
      <w:r>
        <w:t xml:space="preserve">, </w:t>
      </w:r>
      <w:r>
        <w:t>в связи с</w:t>
      </w:r>
      <w:r>
        <w:t xml:space="preserve"> необходимостью организации почтовой связи</w:t>
      </w:r>
      <w:r>
        <w:t xml:space="preserve">, </w:t>
      </w:r>
      <w:r>
        <w:t xml:space="preserve">Собрание </w:t>
      </w:r>
      <w:r>
        <w:t>депутатов Обливского района</w:t>
      </w:r>
      <w:r>
        <w:t xml:space="preserve"> </w:t>
      </w:r>
    </w:p>
    <w:p w14:paraId="11000000">
      <w:pPr>
        <w:ind w:firstLine="708" w:left="0"/>
        <w:jc w:val="both"/>
      </w:pPr>
    </w:p>
    <w:p w14:paraId="12000000">
      <w:pPr>
        <w:ind w:firstLine="708" w:left="0"/>
        <w:jc w:val="center"/>
      </w:pPr>
      <w:r>
        <w:t>РЕШИЛО:</w:t>
      </w:r>
    </w:p>
    <w:p w14:paraId="13000000">
      <w:pPr>
        <w:spacing w:line="0" w:lineRule="atLeast"/>
        <w:ind w:firstLine="708" w:left="0"/>
        <w:jc w:val="both"/>
        <w:outlineLvl w:val="1"/>
      </w:pPr>
      <w:r>
        <w:t xml:space="preserve"> </w:t>
      </w:r>
    </w:p>
    <w:p w14:paraId="14000000">
      <w:pPr>
        <w:spacing w:line="0" w:lineRule="atLeast"/>
        <w:ind w:firstLine="708" w:left="0"/>
        <w:jc w:val="both"/>
        <w:outlineLvl w:val="1"/>
      </w:pPr>
      <w:r>
        <w:t>1</w:t>
      </w:r>
      <w:r>
        <w:t>. Утвердить</w:t>
      </w:r>
      <w:r>
        <w:t xml:space="preserve"> перечень имущества, предлагаемого к </w:t>
      </w:r>
      <w:r>
        <w:t xml:space="preserve"> </w:t>
      </w:r>
      <w:r>
        <w:t>передаче</w:t>
      </w:r>
      <w:r>
        <w:t xml:space="preserve"> из </w:t>
      </w:r>
      <w:r>
        <w:t>муниципальн</w:t>
      </w:r>
      <w:r>
        <w:t>ой</w:t>
      </w:r>
      <w:r>
        <w:t xml:space="preserve"> собственност</w:t>
      </w:r>
      <w:r>
        <w:t>и</w:t>
      </w:r>
      <w:r>
        <w:t xml:space="preserve"> муниципального образования </w:t>
      </w:r>
      <w:r>
        <w:t xml:space="preserve"> </w:t>
      </w:r>
      <w:r>
        <w:t>«</w:t>
      </w:r>
      <w:r>
        <w:t>Обливск</w:t>
      </w:r>
      <w:r>
        <w:t>ий</w:t>
      </w:r>
      <w:r>
        <w:t xml:space="preserve"> район</w:t>
      </w:r>
      <w:r>
        <w:t>»</w:t>
      </w:r>
      <w:r>
        <w:t xml:space="preserve"> в </w:t>
      </w:r>
      <w:r>
        <w:t>собственность</w:t>
      </w:r>
      <w:r>
        <w:t xml:space="preserve"> Российской Федерации</w:t>
      </w:r>
      <w:r>
        <w:t xml:space="preserve">, согласно приложению </w:t>
      </w:r>
      <w:r>
        <w:t xml:space="preserve"> к настоящему решению</w:t>
      </w:r>
      <w:r>
        <w:t xml:space="preserve">. </w:t>
      </w:r>
    </w:p>
    <w:p w14:paraId="15000000">
      <w:pPr>
        <w:ind w:firstLine="720" w:left="0"/>
        <w:jc w:val="both"/>
      </w:pPr>
      <w:r>
        <w:t>2</w:t>
      </w:r>
      <w:r>
        <w:t>. Данное решение вступает в законную силу с  момента официального опубликования.</w:t>
      </w:r>
    </w:p>
    <w:p w14:paraId="16000000">
      <w:pPr>
        <w:ind w:firstLine="720" w:left="0"/>
        <w:jc w:val="both"/>
      </w:pPr>
      <w:r>
        <w:t>3</w:t>
      </w:r>
      <w:r>
        <w:t>. Контроль за выполнением решения возложить на постоянную комиссию Собрания депутатов Обливского района по бюджету, налогам и собственности.</w:t>
      </w:r>
    </w:p>
    <w:p w14:paraId="17000000">
      <w:pPr>
        <w:ind w:firstLine="720" w:left="0"/>
        <w:jc w:val="both"/>
      </w:pPr>
    </w:p>
    <w:p w14:paraId="18000000">
      <w:pPr>
        <w:ind/>
        <w:jc w:val="both"/>
      </w:pPr>
    </w:p>
    <w:p w14:paraId="19000000">
      <w:pPr>
        <w:ind/>
        <w:jc w:val="both"/>
      </w:pPr>
      <w:r>
        <w:t>Председатель Собрания депутатов -</w:t>
      </w:r>
    </w:p>
    <w:p w14:paraId="1A000000">
      <w:pPr>
        <w:ind/>
        <w:jc w:val="both"/>
      </w:pPr>
      <w:r>
        <w:t>глава Обливского района                                                              Е.С. Карамушка</w:t>
      </w:r>
    </w:p>
    <w:p w14:paraId="1B000000">
      <w:pPr>
        <w:ind/>
        <w:jc w:val="both"/>
      </w:pPr>
    </w:p>
    <w:p w14:paraId="1C000000">
      <w:pPr>
        <w:ind/>
        <w:jc w:val="both"/>
      </w:pPr>
    </w:p>
    <w:p w14:paraId="1D000000">
      <w:pPr>
        <w:ind/>
        <w:jc w:val="both"/>
      </w:pPr>
    </w:p>
    <w:p w14:paraId="1E000000">
      <w:pPr>
        <w:ind/>
        <w:jc w:val="both"/>
      </w:pPr>
    </w:p>
    <w:p w14:paraId="1F000000">
      <w:pPr>
        <w:ind/>
        <w:jc w:val="both"/>
      </w:pPr>
    </w:p>
    <w:p w14:paraId="20000000">
      <w:pPr>
        <w:ind/>
        <w:jc w:val="both"/>
      </w:pPr>
    </w:p>
    <w:p w14:paraId="21000000">
      <w:pPr>
        <w:ind/>
        <w:jc w:val="both"/>
      </w:pPr>
    </w:p>
    <w:p w14:paraId="22000000">
      <w:pPr>
        <w:ind/>
        <w:jc w:val="both"/>
      </w:pPr>
    </w:p>
    <w:p w14:paraId="23000000">
      <w:pPr>
        <w:ind/>
        <w:jc w:val="both"/>
      </w:pPr>
    </w:p>
    <w:p w14:paraId="24000000">
      <w:pPr>
        <w:ind/>
        <w:jc w:val="both"/>
      </w:pPr>
    </w:p>
    <w:p w14:paraId="25000000">
      <w:pPr>
        <w:ind/>
        <w:jc w:val="both"/>
      </w:pPr>
    </w:p>
    <w:p w14:paraId="26000000">
      <w:pPr>
        <w:ind/>
        <w:jc w:val="both"/>
      </w:pPr>
    </w:p>
    <w:p w14:paraId="27000000">
      <w:pPr>
        <w:ind/>
        <w:jc w:val="both"/>
      </w:pPr>
    </w:p>
    <w:p w14:paraId="28000000">
      <w:pPr>
        <w:ind/>
        <w:jc w:val="both"/>
      </w:pPr>
    </w:p>
    <w:p w14:paraId="29000000">
      <w:pPr>
        <w:ind/>
        <w:jc w:val="both"/>
      </w:pPr>
    </w:p>
    <w:p w14:paraId="2A000000">
      <w:pPr>
        <w:ind/>
        <w:jc w:val="both"/>
      </w:pPr>
    </w:p>
    <w:p w14:paraId="2B000000">
      <w:pPr>
        <w:ind/>
        <w:jc w:val="both"/>
      </w:pPr>
    </w:p>
    <w:p w14:paraId="2C000000">
      <w:pPr>
        <w:ind/>
        <w:jc w:val="both"/>
      </w:pPr>
    </w:p>
    <w:p w14:paraId="2D000000">
      <w:pPr>
        <w:ind/>
        <w:jc w:val="both"/>
      </w:pPr>
    </w:p>
    <w:p w14:paraId="2E000000">
      <w:pPr>
        <w:ind/>
        <w:jc w:val="both"/>
      </w:pPr>
    </w:p>
    <w:p w14:paraId="2F000000">
      <w:pPr>
        <w:ind/>
        <w:jc w:val="both"/>
      </w:pPr>
    </w:p>
    <w:p w14:paraId="30000000">
      <w:pPr>
        <w:ind/>
        <w:jc w:val="both"/>
      </w:pPr>
    </w:p>
    <w:p w14:paraId="31000000">
      <w:pPr>
        <w:ind/>
        <w:jc w:val="both"/>
      </w:pPr>
    </w:p>
    <w:p w14:paraId="32000000">
      <w:pPr>
        <w:ind/>
        <w:jc w:val="both"/>
      </w:pPr>
    </w:p>
    <w:p w14:paraId="33000000">
      <w:pPr>
        <w:ind/>
        <w:jc w:val="both"/>
      </w:pPr>
    </w:p>
    <w:p w14:paraId="34000000">
      <w:pPr>
        <w:ind/>
        <w:jc w:val="both"/>
      </w:pPr>
    </w:p>
    <w:p w14:paraId="35000000">
      <w:pPr>
        <w:ind/>
        <w:jc w:val="both"/>
      </w:pPr>
    </w:p>
    <w:p w14:paraId="36000000">
      <w:pPr>
        <w:ind/>
        <w:jc w:val="both"/>
      </w:pPr>
    </w:p>
    <w:p w14:paraId="37000000">
      <w:pPr>
        <w:ind/>
        <w:jc w:val="both"/>
      </w:pPr>
    </w:p>
    <w:p w14:paraId="38000000">
      <w:pPr>
        <w:ind/>
        <w:jc w:val="both"/>
      </w:pPr>
    </w:p>
    <w:p w14:paraId="39000000">
      <w:pPr>
        <w:ind/>
        <w:jc w:val="both"/>
      </w:pPr>
    </w:p>
    <w:p w14:paraId="3A000000">
      <w:pPr>
        <w:ind/>
        <w:jc w:val="both"/>
      </w:pPr>
      <w:r>
        <w:t>20.02.2025</w:t>
      </w:r>
      <w:r>
        <w:t xml:space="preserve"> года</w:t>
      </w:r>
    </w:p>
    <w:p w14:paraId="3B000000">
      <w:pPr>
        <w:ind/>
        <w:jc w:val="both"/>
        <w:rPr>
          <w:color w:val="000000"/>
          <w:sz w:val="10"/>
        </w:rPr>
      </w:pPr>
      <w:r>
        <w:t>№ 175</w:t>
      </w:r>
    </w:p>
    <w:p w14:paraId="3C000000">
      <w:pPr>
        <w:pStyle w:val="Style_1"/>
        <w:ind/>
        <w:jc w:val="left"/>
        <w:rPr>
          <w:b w:val="1"/>
          <w:sz w:val="20"/>
        </w:rPr>
      </w:pPr>
    </w:p>
    <w:p w14:paraId="3D000000">
      <w:pPr>
        <w:pStyle w:val="Style_1"/>
        <w:ind/>
        <w:jc w:val="left"/>
        <w:rPr>
          <w:b w:val="1"/>
          <w:sz w:val="20"/>
        </w:rPr>
      </w:pPr>
    </w:p>
    <w:p w14:paraId="3E000000">
      <w:pPr>
        <w:pStyle w:val="Style_1"/>
        <w:ind/>
        <w:jc w:val="left"/>
        <w:rPr>
          <w:b w:val="1"/>
          <w:sz w:val="20"/>
        </w:rPr>
      </w:pPr>
    </w:p>
    <w:p w14:paraId="3F000000">
      <w:pPr>
        <w:tabs>
          <w:tab w:leader="none" w:pos="3735" w:val="left"/>
        </w:tabs>
        <w:ind/>
        <w:jc w:val="both"/>
      </w:pPr>
    </w:p>
    <w:p w14:paraId="40000000">
      <w:pPr>
        <w:tabs>
          <w:tab w:leader="none" w:pos="3735" w:val="left"/>
        </w:tabs>
        <w:ind/>
        <w:jc w:val="both"/>
      </w:pPr>
    </w:p>
    <w:p w14:paraId="41000000">
      <w:pPr>
        <w:tabs>
          <w:tab w:leader="none" w:pos="3735" w:val="left"/>
        </w:tabs>
        <w:ind/>
        <w:jc w:val="both"/>
      </w:pPr>
    </w:p>
    <w:p w14:paraId="42000000">
      <w:pPr>
        <w:tabs>
          <w:tab w:leader="none" w:pos="3735" w:val="left"/>
        </w:tabs>
        <w:ind/>
        <w:jc w:val="both"/>
      </w:pPr>
    </w:p>
    <w:p w14:paraId="43000000">
      <w:pPr>
        <w:tabs>
          <w:tab w:leader="none" w:pos="3735" w:val="left"/>
        </w:tabs>
        <w:ind/>
        <w:jc w:val="both"/>
      </w:pPr>
    </w:p>
    <w:p w14:paraId="44000000">
      <w:pPr>
        <w:tabs>
          <w:tab w:leader="none" w:pos="3735" w:val="left"/>
        </w:tabs>
        <w:ind/>
        <w:jc w:val="both"/>
      </w:pPr>
    </w:p>
    <w:p w14:paraId="45000000">
      <w:pPr>
        <w:tabs>
          <w:tab w:leader="none" w:pos="3735" w:val="left"/>
        </w:tabs>
        <w:ind/>
        <w:jc w:val="both"/>
      </w:pPr>
    </w:p>
    <w:p w14:paraId="46000000">
      <w:pPr>
        <w:tabs>
          <w:tab w:leader="none" w:pos="3735" w:val="left"/>
        </w:tabs>
        <w:ind/>
        <w:jc w:val="both"/>
      </w:pPr>
    </w:p>
    <w:p w14:paraId="47000000">
      <w:pPr>
        <w:tabs>
          <w:tab w:leader="none" w:pos="3735" w:val="left"/>
        </w:tabs>
        <w:ind/>
        <w:jc w:val="both"/>
      </w:pPr>
    </w:p>
    <w:p w14:paraId="48000000">
      <w:pPr>
        <w:tabs>
          <w:tab w:leader="none" w:pos="3735" w:val="left"/>
        </w:tabs>
        <w:ind/>
        <w:jc w:val="both"/>
      </w:pPr>
    </w:p>
    <w:p w14:paraId="49000000">
      <w:pPr>
        <w:tabs>
          <w:tab w:leader="none" w:pos="3735" w:val="left"/>
        </w:tabs>
        <w:ind/>
        <w:jc w:val="both"/>
      </w:pPr>
    </w:p>
    <w:p w14:paraId="4A000000">
      <w:pPr>
        <w:tabs>
          <w:tab w:leader="none" w:pos="3735" w:val="left"/>
        </w:tabs>
        <w:ind/>
        <w:jc w:val="both"/>
      </w:pPr>
    </w:p>
    <w:p w14:paraId="4B000000">
      <w:pPr>
        <w:tabs>
          <w:tab w:leader="none" w:pos="3735" w:val="left"/>
        </w:tabs>
        <w:ind/>
        <w:jc w:val="both"/>
      </w:pPr>
    </w:p>
    <w:p w14:paraId="4C000000">
      <w:pPr>
        <w:tabs>
          <w:tab w:leader="none" w:pos="3735" w:val="left"/>
        </w:tabs>
        <w:ind/>
        <w:jc w:val="both"/>
      </w:pPr>
    </w:p>
    <w:p w14:paraId="4D000000">
      <w:pPr>
        <w:tabs>
          <w:tab w:leader="none" w:pos="3735" w:val="left"/>
        </w:tabs>
        <w:ind/>
        <w:jc w:val="both"/>
      </w:pPr>
    </w:p>
    <w:p w14:paraId="4E000000">
      <w:pPr>
        <w:tabs>
          <w:tab w:leader="none" w:pos="3735" w:val="left"/>
        </w:tabs>
        <w:ind/>
        <w:jc w:val="both"/>
      </w:pPr>
    </w:p>
    <w:p w14:paraId="4F000000">
      <w:pPr>
        <w:tabs>
          <w:tab w:leader="none" w:pos="3735" w:val="left"/>
        </w:tabs>
        <w:ind/>
        <w:jc w:val="both"/>
      </w:pPr>
    </w:p>
    <w:p w14:paraId="50000000">
      <w:pPr>
        <w:tabs>
          <w:tab w:leader="none" w:pos="3735" w:val="left"/>
        </w:tabs>
        <w:ind/>
        <w:jc w:val="both"/>
      </w:pPr>
    </w:p>
    <w:p w14:paraId="51000000">
      <w:pPr>
        <w:tabs>
          <w:tab w:leader="none" w:pos="3735" w:val="left"/>
        </w:tabs>
        <w:ind/>
        <w:jc w:val="both"/>
      </w:pPr>
    </w:p>
    <w:p w14:paraId="52000000">
      <w:pPr>
        <w:sectPr>
          <w:pgSz w:h="16838" w:orient="portrait" w:w="11906"/>
          <w:pgMar w:bottom="851" w:footer="709" w:gutter="0" w:header="709" w:left="1701" w:right="851" w:top="851"/>
        </w:sectPr>
      </w:pPr>
    </w:p>
    <w:p w14:paraId="53000000">
      <w:pPr>
        <w:tabs>
          <w:tab w:leader="none" w:pos="3735" w:val="left"/>
        </w:tabs>
        <w:ind/>
        <w:jc w:val="right"/>
      </w:pPr>
      <w:r>
        <w:t xml:space="preserve">Приложение </w:t>
      </w:r>
    </w:p>
    <w:p w14:paraId="54000000">
      <w:pPr>
        <w:tabs>
          <w:tab w:leader="none" w:pos="3735" w:val="left"/>
        </w:tabs>
        <w:ind/>
        <w:jc w:val="right"/>
        <w:rPr>
          <w:color w:val="000000"/>
        </w:rPr>
      </w:pPr>
      <w:r>
        <w:t>к</w:t>
      </w:r>
      <w:r>
        <w:t xml:space="preserve"> решению </w:t>
      </w:r>
      <w:r>
        <w:rPr>
          <w:color w:val="000000"/>
        </w:rPr>
        <w:t>Собрания депутатов</w:t>
      </w:r>
    </w:p>
    <w:p w14:paraId="55000000">
      <w:pPr>
        <w:tabs>
          <w:tab w:leader="none" w:pos="3735" w:val="left"/>
        </w:tabs>
        <w:ind/>
        <w:jc w:val="right"/>
        <w:rPr>
          <w:color w:val="000000"/>
        </w:rPr>
      </w:pPr>
      <w:r>
        <w:rPr>
          <w:color w:val="000000"/>
        </w:rPr>
        <w:t xml:space="preserve"> Обливского района</w:t>
      </w:r>
    </w:p>
    <w:p w14:paraId="56000000">
      <w:pPr>
        <w:tabs>
          <w:tab w:leader="none" w:pos="3735" w:val="left"/>
        </w:tabs>
        <w:ind/>
        <w:jc w:val="right"/>
        <w:rPr>
          <w:color w:val="000000"/>
        </w:rPr>
      </w:pPr>
      <w:r>
        <w:rPr>
          <w:color w:val="000000"/>
        </w:rPr>
        <w:t>от 20.02.2025</w:t>
      </w:r>
    </w:p>
    <w:p w14:paraId="57000000">
      <w:pPr>
        <w:tabs>
          <w:tab w:leader="none" w:pos="3735" w:val="left"/>
        </w:tabs>
        <w:ind/>
        <w:jc w:val="right"/>
        <w:rPr>
          <w:color w:val="000000"/>
        </w:rPr>
      </w:pPr>
      <w:r>
        <w:rPr>
          <w:color w:val="000000"/>
        </w:rPr>
        <w:t>№ 175</w:t>
      </w:r>
    </w:p>
    <w:p w14:paraId="58000000">
      <w:pPr>
        <w:tabs>
          <w:tab w:leader="none" w:pos="0" w:val="left"/>
        </w:tabs>
        <w:ind w:firstLine="0" w:left="495"/>
        <w:jc w:val="center"/>
        <w:rPr>
          <w:color w:val="000000"/>
          <w:sz w:val="30"/>
        </w:rPr>
      </w:pPr>
    </w:p>
    <w:p w14:paraId="59000000">
      <w:pPr>
        <w:tabs>
          <w:tab w:leader="none" w:pos="0" w:val="left"/>
        </w:tabs>
        <w:ind w:firstLine="0" w:left="495"/>
        <w:jc w:val="center"/>
        <w:rPr>
          <w:color w:val="000000"/>
          <w:sz w:val="30"/>
        </w:rPr>
      </w:pPr>
      <w:r>
        <w:rPr>
          <w:color w:val="000000"/>
          <w:sz w:val="30"/>
        </w:rPr>
        <w:t>«</w:t>
      </w:r>
      <w:r>
        <w:rPr>
          <w:color w:val="000000"/>
          <w:sz w:val="30"/>
        </w:rPr>
        <w:t>О</w:t>
      </w:r>
      <w:r>
        <w:rPr>
          <w:color w:val="000000"/>
          <w:sz w:val="30"/>
        </w:rPr>
        <w:t>б</w:t>
      </w:r>
      <w:r>
        <w:rPr>
          <w:color w:val="000000"/>
          <w:sz w:val="30"/>
        </w:rPr>
        <w:t xml:space="preserve"> </w:t>
      </w:r>
      <w:r>
        <w:rPr>
          <w:color w:val="000000"/>
          <w:sz w:val="30"/>
        </w:rPr>
        <w:t xml:space="preserve">утверждении </w:t>
      </w:r>
      <w:r>
        <w:t xml:space="preserve">перечня имущества, предлагаемого к </w:t>
      </w:r>
      <w:r>
        <w:t xml:space="preserve"> </w:t>
      </w:r>
      <w:r>
        <w:t>передаче</w:t>
      </w:r>
      <w:r>
        <w:t xml:space="preserve"> из </w:t>
      </w:r>
      <w:r>
        <w:t>муниципальн</w:t>
      </w:r>
      <w:r>
        <w:t>ой</w:t>
      </w:r>
      <w:r>
        <w:t xml:space="preserve"> собственност</w:t>
      </w:r>
      <w:r>
        <w:t>и</w:t>
      </w:r>
      <w:r>
        <w:t xml:space="preserve"> муниципального образования </w:t>
      </w:r>
      <w:r>
        <w:t xml:space="preserve"> </w:t>
      </w:r>
      <w:r>
        <w:t>«</w:t>
      </w:r>
      <w:r>
        <w:t>Обливск</w:t>
      </w:r>
      <w:r>
        <w:t>ий</w:t>
      </w:r>
      <w:r>
        <w:t xml:space="preserve"> район</w:t>
      </w:r>
      <w:r>
        <w:t>»</w:t>
      </w:r>
      <w:r>
        <w:t xml:space="preserve"> в собственность Российской Федерации</w:t>
      </w:r>
      <w:r>
        <w:t>».</w:t>
      </w:r>
    </w:p>
    <w:p w14:paraId="5A000000">
      <w:pPr>
        <w:tabs>
          <w:tab w:leader="none" w:pos="3735" w:val="left"/>
        </w:tabs>
        <w:ind/>
        <w:jc w:val="both"/>
      </w:pPr>
    </w:p>
    <w:p w14:paraId="5B000000">
      <w:pPr>
        <w:ind/>
        <w:jc w:val="center"/>
      </w:pPr>
    </w:p>
    <w:p w14:paraId="5C000000">
      <w:pPr>
        <w:ind/>
        <w:jc w:val="center"/>
        <w:rPr>
          <w:b w:val="1"/>
          <w:smallCaps w:val="1"/>
          <w:sz w:val="26"/>
        </w:rPr>
      </w:pPr>
    </w:p>
    <w:p w14:paraId="5D000000">
      <w:pPr>
        <w:ind w:firstLine="0" w:left="927"/>
        <w:jc w:val="center"/>
        <w:rPr>
          <w:sz w:val="26"/>
        </w:rPr>
      </w:pPr>
    </w:p>
    <w:tbl>
      <w:tblPr>
        <w:tblStyle w:val="Style_2"/>
        <w:tblW w:type="auto" w:w="0"/>
        <w:tblInd w:type="dxa" w:w="56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022"/>
        <w:gridCol w:w="4606"/>
        <w:gridCol w:w="3745"/>
        <w:gridCol w:w="2706"/>
        <w:gridCol w:w="2706"/>
      </w:tblGrid>
      <w:tr>
        <w:tc>
          <w:tcPr>
            <w:tcW w:type="dxa" w:w="10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ind/>
              <w:jc w:val="center"/>
            </w:pPr>
            <w:r>
              <w:t>№ п/п</w:t>
            </w:r>
          </w:p>
        </w:tc>
        <w:tc>
          <w:tcPr>
            <w:tcW w:type="dxa" w:w="4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ind/>
              <w:jc w:val="center"/>
            </w:pPr>
            <w:r>
              <w:t xml:space="preserve"> Н</w:t>
            </w:r>
            <w:r>
              <w:t>аименование</w:t>
            </w:r>
            <w:r>
              <w:t xml:space="preserve"> имущества</w:t>
            </w:r>
          </w:p>
        </w:tc>
        <w:tc>
          <w:tcPr>
            <w:tcW w:type="dxa" w:w="37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ind/>
              <w:jc w:val="center"/>
            </w:pPr>
            <w:r>
              <w:t xml:space="preserve">Адрес места нахождения </w:t>
            </w:r>
            <w:r>
              <w:t>имущества</w:t>
            </w:r>
          </w:p>
        </w:tc>
        <w:tc>
          <w:tcPr>
            <w:tcW w:type="dxa" w:w="2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ind/>
              <w:jc w:val="center"/>
            </w:pPr>
            <w:r>
              <w:t>Площадь кв.м.</w:t>
            </w:r>
          </w:p>
        </w:tc>
        <w:tc>
          <w:tcPr>
            <w:tcW w:type="dxa" w:w="2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ind/>
              <w:jc w:val="center"/>
            </w:pPr>
            <w:r>
              <w:t>Кадастровый номер</w:t>
            </w:r>
          </w:p>
        </w:tc>
      </w:tr>
      <w:tr>
        <w:tc>
          <w:tcPr>
            <w:tcW w:type="dxa" w:w="10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r>
              <w:t>1</w:t>
            </w:r>
          </w:p>
        </w:tc>
        <w:tc>
          <w:tcPr>
            <w:tcW w:type="dxa" w:w="4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r>
              <w:t>Не</w:t>
            </w:r>
            <w:r>
              <w:t>жилое помещение,</w:t>
            </w:r>
            <w:r>
              <w:t xml:space="preserve"> пом. 7</w:t>
            </w:r>
            <w:r>
              <w:t xml:space="preserve">,8,9. </w:t>
            </w:r>
            <w:r>
              <w:t>Этаж № 1</w:t>
            </w:r>
          </w:p>
        </w:tc>
        <w:tc>
          <w:tcPr>
            <w:tcW w:type="dxa" w:w="37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r>
              <w:t>347164</w:t>
            </w:r>
            <w:r>
              <w:t xml:space="preserve"> </w:t>
            </w:r>
            <w:r>
              <w:t>: Ростовская область,     р-н Обливский, х.Леонов, ул.Молодежная , д.27</w:t>
            </w:r>
          </w:p>
        </w:tc>
        <w:tc>
          <w:tcPr>
            <w:tcW w:type="dxa" w:w="2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ind/>
              <w:jc w:val="center"/>
            </w:pPr>
            <w:r>
              <w:t>20,8</w:t>
            </w:r>
          </w:p>
        </w:tc>
        <w:tc>
          <w:tcPr>
            <w:tcW w:type="dxa" w:w="2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ind/>
              <w:jc w:val="center"/>
            </w:pPr>
            <w:r>
              <w:t>61:27:0010402:512</w:t>
            </w:r>
          </w:p>
        </w:tc>
      </w:tr>
    </w:tbl>
    <w:p w14:paraId="68000000">
      <w:pPr>
        <w:ind w:firstLine="0" w:left="567"/>
        <w:jc w:val="both"/>
      </w:pPr>
    </w:p>
    <w:sectPr>
      <w:pgSz w:h="11906" w:orient="landscape" w:w="16838"/>
      <w:pgMar w:bottom="851" w:footer="709" w:gutter="0" w:header="709" w:left="851" w:right="851" w:top="170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8"/>
    </w:rPr>
  </w:style>
  <w:style w:default="1" w:styleId="Style_3_ch" w:type="character">
    <w:name w:val="Normal"/>
    <w:link w:val="Style_3"/>
    <w:rPr>
      <w:sz w:val="28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1" w:type="paragraph">
    <w:name w:val="Body Text"/>
    <w:basedOn w:val="Style_3"/>
    <w:link w:val="Style_1_ch"/>
    <w:pPr>
      <w:ind/>
      <w:jc w:val="center"/>
    </w:pPr>
    <w:rPr>
      <w:sz w:val="16"/>
    </w:rPr>
  </w:style>
  <w:style w:styleId="Style_1_ch" w:type="character">
    <w:name w:val="Body Text"/>
    <w:basedOn w:val="Style_3_ch"/>
    <w:link w:val="Style_1"/>
    <w:rPr>
      <w:sz w:val="16"/>
    </w:rPr>
  </w:style>
  <w:style w:styleId="Style_8" w:type="paragraph">
    <w:name w:val="footnote reference"/>
    <w:link w:val="Style_8_ch"/>
    <w:rPr>
      <w:vertAlign w:val="superscript"/>
    </w:rPr>
  </w:style>
  <w:style w:styleId="Style_8_ch" w:type="character">
    <w:name w:val="footnote reference"/>
    <w:link w:val="Style_8"/>
    <w:rPr>
      <w:vertAlign w:val="superscript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Balloon Text"/>
    <w:basedOn w:val="Style_3"/>
    <w:link w:val="Style_11_ch"/>
    <w:rPr>
      <w:rFonts w:ascii="Tahoma" w:hAnsi="Tahoma"/>
      <w:sz w:val="16"/>
    </w:rPr>
  </w:style>
  <w:style w:styleId="Style_11_ch" w:type="character">
    <w:name w:val="Balloon Text"/>
    <w:basedOn w:val="Style_3_ch"/>
    <w:link w:val="Style_11"/>
    <w:rPr>
      <w:rFonts w:ascii="Tahoma" w:hAnsi="Tahoma"/>
      <w:sz w:val="16"/>
    </w:rPr>
  </w:style>
  <w:style w:styleId="Style_12" w:type="paragraph">
    <w:name w:val="toc 3"/>
    <w:next w:val="Style_3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heading 5"/>
    <w:basedOn w:val="Style_3"/>
    <w:next w:val="Style_3"/>
    <w:link w:val="Style_14_ch"/>
    <w:uiPriority w:val="9"/>
    <w:qFormat/>
    <w:pPr>
      <w:keepNext w:val="1"/>
      <w:ind/>
      <w:outlineLvl w:val="4"/>
    </w:pPr>
    <w:rPr>
      <w:b w:val="1"/>
    </w:rPr>
  </w:style>
  <w:style w:styleId="Style_14_ch" w:type="character">
    <w:name w:val="heading 5"/>
    <w:basedOn w:val="Style_3_ch"/>
    <w:link w:val="Style_14"/>
    <w:rPr>
      <w:b w:val="1"/>
    </w:rPr>
  </w:style>
  <w:style w:styleId="Style_15" w:type="paragraph">
    <w:name w:val="heading 1"/>
    <w:basedOn w:val="Style_3"/>
    <w:next w:val="Style_3"/>
    <w:link w:val="Style_15_ch"/>
    <w:uiPriority w:val="9"/>
    <w:qFormat/>
    <w:pPr>
      <w:keepNext w:val="1"/>
      <w:ind/>
      <w:jc w:val="center"/>
      <w:outlineLvl w:val="0"/>
    </w:pPr>
    <w:rPr>
      <w:b w:val="1"/>
      <w:sz w:val="32"/>
    </w:rPr>
  </w:style>
  <w:style w:styleId="Style_15_ch" w:type="character">
    <w:name w:val="heading 1"/>
    <w:basedOn w:val="Style_3_ch"/>
    <w:link w:val="Style_15"/>
    <w:rPr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basedOn w:val="Style_3"/>
    <w:link w:val="Style_17_ch"/>
    <w:rPr>
      <w:sz w:val="20"/>
    </w:rPr>
  </w:style>
  <w:style w:styleId="Style_17_ch" w:type="character">
    <w:name w:val="Footnote"/>
    <w:basedOn w:val="Style_3_ch"/>
    <w:link w:val="Style_17"/>
    <w:rPr>
      <w:sz w:val="20"/>
    </w:rPr>
  </w:style>
  <w:style w:styleId="Style_18" w:type="paragraph">
    <w:name w:val="toc 1"/>
    <w:next w:val="Style_3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3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3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Body Text Indent"/>
    <w:basedOn w:val="Style_3"/>
    <w:link w:val="Style_22_ch"/>
    <w:pPr>
      <w:spacing w:after="120"/>
      <w:ind w:firstLine="0" w:left="283"/>
    </w:pPr>
  </w:style>
  <w:style w:styleId="Style_22_ch" w:type="character">
    <w:name w:val="Body Text Indent"/>
    <w:basedOn w:val="Style_3_ch"/>
    <w:link w:val="Style_22"/>
  </w:style>
  <w:style w:styleId="Style_23" w:type="paragraph">
    <w:name w:val="toc 5"/>
    <w:next w:val="Style_3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3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3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3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basedOn w:val="Style_3"/>
    <w:next w:val="Style_3"/>
    <w:link w:val="Style_27_ch"/>
    <w:uiPriority w:val="9"/>
    <w:qFormat/>
    <w:pPr>
      <w:keepNext w:val="1"/>
      <w:ind/>
      <w:jc w:val="center"/>
      <w:outlineLvl w:val="1"/>
    </w:pPr>
    <w:rPr>
      <w:b w:val="1"/>
      <w:sz w:val="24"/>
    </w:rPr>
  </w:style>
  <w:style w:styleId="Style_27_ch" w:type="character">
    <w:name w:val="heading 2"/>
    <w:basedOn w:val="Style_3_ch"/>
    <w:link w:val="Style_27"/>
    <w:rPr>
      <w:b w:val="1"/>
      <w:sz w:val="24"/>
    </w:rPr>
  </w:style>
  <w:style w:styleId="Style_28" w:type="paragraph">
    <w:name w:val="heading 6"/>
    <w:basedOn w:val="Style_3"/>
    <w:next w:val="Style_3"/>
    <w:link w:val="Style_28_ch"/>
    <w:uiPriority w:val="9"/>
    <w:qFormat/>
    <w:pPr>
      <w:keepNext w:val="1"/>
      <w:ind/>
      <w:jc w:val="center"/>
      <w:outlineLvl w:val="5"/>
    </w:pPr>
    <w:rPr>
      <w:b w:val="1"/>
    </w:rPr>
  </w:style>
  <w:style w:styleId="Style_28_ch" w:type="character">
    <w:name w:val="heading 6"/>
    <w:basedOn w:val="Style_3_ch"/>
    <w:link w:val="Style_28"/>
    <w:rPr>
      <w:b w:val="1"/>
    </w:rPr>
  </w:style>
  <w:style w:styleId="Style_29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jpe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2025-02-20T05:38:29Z</dcterms:modified>
</cp:coreProperties>
</file>