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ОБОБЩЕННАЯ ИНФОРМАЦИЯ</w:t>
      </w:r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работе Админис</w:t>
      </w:r>
      <w:r>
        <w:rPr>
          <w:rFonts w:ascii="Times New Roman" w:hAnsi="Times New Roman"/>
          <w:b w:val="1"/>
          <w:sz w:val="28"/>
        </w:rPr>
        <w:t>трации Обливского района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 обраще</w:t>
      </w:r>
      <w:r>
        <w:rPr>
          <w:rFonts w:ascii="Times New Roman" w:hAnsi="Times New Roman"/>
          <w:b w:val="1"/>
          <w:sz w:val="28"/>
        </w:rPr>
        <w:t>ниями гражда</w:t>
      </w:r>
      <w:r>
        <w:rPr>
          <w:rFonts w:ascii="Times New Roman" w:hAnsi="Times New Roman"/>
          <w:b w:val="1"/>
          <w:sz w:val="28"/>
        </w:rPr>
        <w:t>н за 3 квартал 2025 года.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7"/>
        </w:rPr>
      </w:pPr>
    </w:p>
    <w:p w14:paraId="05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Администраци</w:t>
      </w:r>
      <w:r>
        <w:rPr>
          <w:rFonts w:ascii="Times New Roman" w:hAnsi="Times New Roman"/>
          <w:sz w:val="32"/>
        </w:rPr>
        <w:t xml:space="preserve">ю Обливского района </w:t>
      </w:r>
      <w:r>
        <w:rPr>
          <w:rFonts w:ascii="Times New Roman" w:hAnsi="Times New Roman"/>
          <w:sz w:val="32"/>
        </w:rPr>
        <w:t>за 3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квартал</w:t>
      </w:r>
      <w:r>
        <w:rPr>
          <w:rFonts w:ascii="Times New Roman" w:hAnsi="Times New Roman"/>
          <w:sz w:val="32"/>
        </w:rPr>
        <w:t xml:space="preserve"> 20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</w:rPr>
        <w:t>5</w:t>
      </w:r>
      <w:r>
        <w:rPr>
          <w:rFonts w:ascii="Times New Roman" w:hAnsi="Times New Roman"/>
          <w:sz w:val="32"/>
        </w:rPr>
        <w:t xml:space="preserve"> года </w:t>
      </w:r>
      <w:r>
        <w:rPr>
          <w:rFonts w:ascii="Times New Roman" w:hAnsi="Times New Roman"/>
          <w:sz w:val="32"/>
        </w:rPr>
        <w:t xml:space="preserve">поступило </w:t>
      </w:r>
      <w:r>
        <w:rPr>
          <w:rFonts w:ascii="Times New Roman" w:hAnsi="Times New Roman"/>
          <w:sz w:val="32"/>
        </w:rPr>
        <w:t>29</w:t>
      </w:r>
      <w:r>
        <w:rPr>
          <w:rFonts w:ascii="Times New Roman" w:hAnsi="Times New Roman"/>
          <w:sz w:val="32"/>
        </w:rPr>
        <w:t xml:space="preserve"> обращений</w:t>
      </w:r>
      <w:r>
        <w:rPr>
          <w:rFonts w:ascii="Times New Roman" w:hAnsi="Times New Roman"/>
          <w:sz w:val="32"/>
        </w:rPr>
        <w:t xml:space="preserve"> граждан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(из них письменных - 23</w:t>
      </w:r>
      <w:r>
        <w:rPr>
          <w:rFonts w:ascii="Times New Roman" w:hAnsi="Times New Roman"/>
          <w:sz w:val="32"/>
        </w:rPr>
        <w:t>, устных обращений - 6</w:t>
      </w:r>
      <w:r>
        <w:rPr>
          <w:rFonts w:ascii="Times New Roman" w:hAnsi="Times New Roman"/>
          <w:sz w:val="32"/>
        </w:rPr>
        <w:t>).</w:t>
      </w:r>
      <w:r>
        <w:rPr>
          <w:rFonts w:ascii="Times New Roman" w:hAnsi="Times New Roman"/>
          <w:sz w:val="32"/>
        </w:rPr>
        <w:t xml:space="preserve"> Из общего числа обращений</w:t>
      </w:r>
      <w:r>
        <w:rPr>
          <w:rFonts w:ascii="Times New Roman" w:hAnsi="Times New Roman"/>
          <w:sz w:val="32"/>
        </w:rPr>
        <w:t xml:space="preserve"> 1</w:t>
      </w:r>
      <w:r>
        <w:rPr>
          <w:rFonts w:ascii="Times New Roman" w:hAnsi="Times New Roman"/>
          <w:sz w:val="32"/>
        </w:rPr>
        <w:t xml:space="preserve"> – коллективное</w:t>
      </w:r>
      <w:r>
        <w:rPr>
          <w:rFonts w:ascii="Times New Roman" w:hAnsi="Times New Roman"/>
          <w:sz w:val="32"/>
        </w:rPr>
        <w:t>.</w:t>
      </w:r>
      <w:r>
        <w:rPr>
          <w:rFonts w:ascii="Times New Roman" w:hAnsi="Times New Roman"/>
          <w:sz w:val="32"/>
        </w:rPr>
        <w:t xml:space="preserve"> </w:t>
      </w:r>
    </w:p>
    <w:p w14:paraId="06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соотношении с аналогичным периодом прошлого года количество обращений увеличилось</w:t>
      </w:r>
      <w:r>
        <w:rPr>
          <w:rFonts w:ascii="Times New Roman" w:hAnsi="Times New Roman"/>
          <w:sz w:val="32"/>
        </w:rPr>
        <w:t xml:space="preserve"> на 20,83 % </w:t>
      </w:r>
      <w:r>
        <w:rPr>
          <w:rFonts w:ascii="Times New Roman" w:hAnsi="Times New Roman"/>
          <w:sz w:val="32"/>
        </w:rPr>
        <w:t>(2024 – 24</w:t>
      </w:r>
      <w:r>
        <w:rPr>
          <w:rFonts w:ascii="Times New Roman" w:hAnsi="Times New Roman"/>
          <w:sz w:val="32"/>
        </w:rPr>
        <w:t>).</w:t>
      </w:r>
    </w:p>
    <w:p w14:paraId="07000000">
      <w:pPr>
        <w:spacing w:after="0" w:line="240" w:lineRule="auto"/>
        <w:ind w:firstLine="708" w:left="0"/>
        <w:jc w:val="both"/>
        <w:rPr>
          <w:rFonts w:ascii="Times New Roman" w:hAnsi="Times New Roman"/>
          <w:sz w:val="32"/>
        </w:rPr>
      </w:pPr>
    </w:p>
    <w:tbl>
      <w:tblPr>
        <w:tblStyle w:val="Style_1"/>
        <w:tblW w:type="auto" w:w="0"/>
        <w:tblInd w:type="dxa" w:w="-8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150"/>
        <w:gridCol w:w="1952"/>
        <w:gridCol w:w="1952"/>
        <w:gridCol w:w="2203"/>
      </w:tblGrid>
      <w:tr>
        <w:tc>
          <w:tcPr>
            <w:tcW w:type="dxa" w:w="415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00000">
            <w:pPr>
              <w:ind w:firstLine="555" w:left="-57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0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A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3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2024г.</w:t>
            </w:r>
          </w:p>
        </w:tc>
        <w:tc>
          <w:tcPr>
            <w:tcW w:type="dxa" w:w="195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0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обращений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</w:t>
            </w:r>
          </w:p>
          <w:p w14:paraId="0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3 квартал </w:t>
            </w:r>
            <w:r>
              <w:rPr>
                <w:rFonts w:ascii="Times New Roman" w:hAnsi="Times New Roman"/>
                <w:color w:val="000000"/>
                <w:sz w:val="28"/>
              </w:rPr>
              <w:t>2025г.</w:t>
            </w:r>
          </w:p>
        </w:tc>
        <w:tc>
          <w:tcPr>
            <w:tcW w:type="dxa" w:w="2203"/>
            <w:tcBorders>
              <w:top w:color="000000" w:sz="6" w:val="single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00000">
            <w:pPr>
              <w:spacing w:after="0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увелич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/      </w:t>
            </w:r>
          </w:p>
          <w:p w14:paraId="0E000000">
            <w:pPr>
              <w:spacing w:after="0"/>
              <w:ind w:hanging="15" w:left="15" w:right="-9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уменьш</w:t>
            </w:r>
          </w:p>
        </w:tc>
      </w:tr>
      <w:tr>
        <w:trPr>
          <w:trHeight w:hRule="atLeast" w:val="938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Предпринимательская деятельность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00000">
            <w:pPr>
              <w:spacing w:after="120" w:before="120"/>
              <w:ind w:hanging="120" w:left="120" w:right="120"/>
              <w:jc w:val="center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</w:rPr>
              <w:t>ЖКХ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 </w:t>
            </w:r>
            <w:r>
              <w:rPr>
                <w:rFonts w:ascii="Times New Roman" w:hAnsi="Times New Roman"/>
                <w:sz w:val="28"/>
              </w:rPr>
              <w:t>(29 %)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11 </w:t>
            </w:r>
            <w:r>
              <w:rPr>
                <w:rFonts w:ascii="Times New Roman" w:hAnsi="Times New Roman"/>
                <w:sz w:val="28"/>
              </w:rPr>
              <w:t>(38 %)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+4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7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Ремонт дорог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8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>(17 %)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(4 %)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-3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Благоустройство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 </w:t>
            </w:r>
            <w:r>
              <w:rPr>
                <w:rFonts w:ascii="Times New Roman" w:hAnsi="Times New Roman"/>
                <w:sz w:val="28"/>
              </w:rPr>
              <w:t>(8 %)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(7 %)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Социальное обеспечение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>(4 %)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(10 %)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+2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Сельское хозяйство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 </w:t>
            </w:r>
            <w:r>
              <w:rPr>
                <w:rFonts w:ascii="Times New Roman" w:hAnsi="Times New Roman"/>
                <w:sz w:val="28"/>
              </w:rPr>
              <w:t>(17 %)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5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(4 %)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6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-3</w:t>
            </w:r>
          </w:p>
        </w:tc>
      </w:tr>
      <w:tr>
        <w:trPr>
          <w:trHeight w:hRule="atLeast" w:val="532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Мобилизация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Образование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(10 %)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+3</w:t>
            </w:r>
          </w:p>
        </w:tc>
      </w:tr>
      <w:tr>
        <w:trPr>
          <w:trHeight w:hRule="atLeast" w:val="551"/>
        </w:trP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3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Другое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4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(25 %)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(27 %)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+2</w:t>
            </w:r>
          </w:p>
        </w:tc>
      </w:tr>
      <w:tr>
        <w:tc>
          <w:tcPr>
            <w:tcW w:type="dxa" w:w="4150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7000000">
            <w:pPr>
              <w:ind w:firstLine="0" w:left="0" w:right="27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Итого</w:t>
            </w: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8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type="dxa" w:w="1952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9000000">
            <w:pPr>
              <w:ind w:firstLine="0" w:left="0" w:right="27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type="dxa" w:w="2203"/>
            <w:tcBorders>
              <w:top w:sz="4" w:val="nil"/>
              <w:left w:sz="4" w:val="nil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A000000">
            <w:pPr>
              <w:ind w:firstLine="0" w:left="0" w:right="27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-5</w:t>
            </w:r>
          </w:p>
        </w:tc>
      </w:tr>
    </w:tbl>
    <w:p w14:paraId="3B000000">
      <w:pPr>
        <w:spacing w:after="0" w:line="240" w:lineRule="auto"/>
        <w:ind w:firstLine="708" w:left="0"/>
        <w:jc w:val="both"/>
        <w:rPr>
          <w:rFonts w:ascii="Times New Roman" w:hAnsi="Times New Roman"/>
          <w:sz w:val="32"/>
        </w:rPr>
      </w:pPr>
    </w:p>
    <w:p w14:paraId="3C000000">
      <w:pPr>
        <w:spacing w:after="0" w:line="276" w:lineRule="auto"/>
        <w:ind w:firstLine="708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 результатам рассмотрения в 3 квартале 2025 года 7 обращений со статусом «поддержано</w:t>
      </w:r>
      <w:r>
        <w:rPr>
          <w:rFonts w:ascii="Times New Roman" w:hAnsi="Times New Roman"/>
          <w:sz w:val="32"/>
        </w:rPr>
        <w:t>»</w:t>
      </w:r>
      <w:r>
        <w:rPr>
          <w:rFonts w:ascii="Times New Roman" w:hAnsi="Times New Roman"/>
          <w:sz w:val="32"/>
        </w:rPr>
        <w:t>, по 22 обращениям направлены ответы разъяснительного характера.</w:t>
      </w:r>
    </w:p>
    <w:p w14:paraId="3D000000">
      <w:pPr>
        <w:spacing w:after="0" w:line="276" w:lineRule="auto"/>
        <w:ind w:firstLine="708" w:left="0"/>
        <w:jc w:val="both"/>
        <w:rPr>
          <w:sz w:val="32"/>
        </w:rPr>
      </w:pPr>
      <w:r>
        <w:rPr>
          <w:rFonts w:ascii="Times New Roman" w:hAnsi="Times New Roman"/>
          <w:sz w:val="32"/>
        </w:rPr>
        <w:t>Р</w:t>
      </w:r>
      <w:r>
        <w:rPr>
          <w:rFonts w:ascii="Times New Roman" w:hAnsi="Times New Roman"/>
          <w:sz w:val="32"/>
        </w:rPr>
        <w:t xml:space="preserve">аспоряжением Администрации Обливского района от </w:t>
      </w:r>
      <w:r>
        <w:rPr>
          <w:rFonts w:ascii="Times New Roman" w:hAnsi="Times New Roman"/>
          <w:sz w:val="32"/>
        </w:rPr>
        <w:t>30.03.2022</w:t>
      </w:r>
      <w:r>
        <w:rPr>
          <w:rFonts w:ascii="Times New Roman" w:hAnsi="Times New Roman"/>
          <w:sz w:val="32"/>
        </w:rPr>
        <w:t xml:space="preserve"> года № 73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утвержден</w:t>
      </w:r>
      <w:r>
        <w:rPr>
          <w:rFonts w:ascii="Times New Roman" w:hAnsi="Times New Roman"/>
          <w:color w:val="000000"/>
          <w:sz w:val="32"/>
        </w:rPr>
        <w:t xml:space="preserve"> график приема граждан в Администрации Обливского района.</w:t>
      </w:r>
    </w:p>
    <w:p w14:paraId="3E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 3</w:t>
      </w:r>
      <w:r>
        <w:rPr>
          <w:rFonts w:ascii="Times New Roman" w:hAnsi="Times New Roman"/>
          <w:sz w:val="32"/>
        </w:rPr>
        <w:t xml:space="preserve"> квартале 202</w:t>
      </w:r>
      <w:r>
        <w:rPr>
          <w:rFonts w:ascii="Times New Roman" w:hAnsi="Times New Roman"/>
          <w:sz w:val="32"/>
        </w:rPr>
        <w:t>5</w:t>
      </w:r>
      <w:r>
        <w:rPr>
          <w:rFonts w:ascii="Times New Roman" w:hAnsi="Times New Roman"/>
          <w:sz w:val="32"/>
        </w:rPr>
        <w:t xml:space="preserve"> года на личный прием обратилось </w:t>
      </w:r>
      <w:r>
        <w:rPr>
          <w:rFonts w:ascii="Times New Roman" w:hAnsi="Times New Roman"/>
          <w:sz w:val="32"/>
        </w:rPr>
        <w:t>6</w:t>
      </w:r>
      <w:r>
        <w:rPr>
          <w:rFonts w:ascii="Times New Roman" w:hAnsi="Times New Roman"/>
          <w:sz w:val="32"/>
        </w:rPr>
        <w:t xml:space="preserve"> граждан, из них приняты главой Администрации Обливского района – 3, первым  заместителем главы Администрации Обливского района – 1, и.о. </w:t>
      </w:r>
      <w:r>
        <w:rPr>
          <w:rFonts w:ascii="Times New Roman" w:hAnsi="Times New Roman"/>
          <w:sz w:val="32"/>
        </w:rPr>
        <w:t xml:space="preserve">заместителя главы Администрации Обливского района </w:t>
      </w:r>
      <w:r>
        <w:rPr>
          <w:rFonts w:ascii="Times New Roman" w:hAnsi="Times New Roman"/>
          <w:sz w:val="32"/>
        </w:rPr>
        <w:t>по вопросам муниципального хозяйства и строительства – 2.</w:t>
      </w:r>
    </w:p>
    <w:p w14:paraId="3F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Администрацией Обливского района  своевременно в полном объеме был </w:t>
      </w:r>
      <w:r>
        <w:rPr>
          <w:rFonts w:ascii="Times New Roman" w:hAnsi="Times New Roman"/>
          <w:sz w:val="32"/>
        </w:rPr>
        <w:t>обеспечен ввод данных о поступивших в отчетном периоде обращениях граждан на портале ССТУ.РФ.</w:t>
      </w:r>
    </w:p>
    <w:p w14:paraId="40000000">
      <w:pPr>
        <w:spacing w:after="0" w:line="276" w:lineRule="auto"/>
        <w:ind w:firstLine="720" w:left="0"/>
        <w:jc w:val="both"/>
        <w:rPr>
          <w:rFonts w:ascii="Times New Roman" w:hAnsi="Times New Roman"/>
          <w:sz w:val="32"/>
        </w:rPr>
      </w:pPr>
    </w:p>
    <w:sectPr>
      <w:pgSz w:h="16838" w:orient="portrait" w:w="11906"/>
      <w:pgMar w:bottom="360" w:footer="708" w:gutter="0" w:header="708" w:left="720" w:right="85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2025-11-07T07:14:44Z</dcterms:modified>
</cp:coreProperties>
</file>