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4"/>
        </w:rPr>
      </w:pPr>
      <w:r>
        <w:drawing>
          <wp:inline>
            <wp:extent cx="694055" cy="91351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94055" cy="9135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ind/>
        <w:jc w:val="right"/>
        <w:rPr>
          <w:sz w:val="24"/>
        </w:rPr>
      </w:pPr>
    </w:p>
    <w:p w14:paraId="03000000">
      <w:pPr>
        <w:widowControl w:val="0"/>
        <w:ind/>
        <w:jc w:val="center"/>
      </w:pPr>
      <w:r>
        <w:t xml:space="preserve">РОССИЙСКАЯ  ФЕДЕРАЦИЯ </w:t>
      </w:r>
    </w:p>
    <w:p w14:paraId="04000000">
      <w:pPr>
        <w:widowControl w:val="0"/>
        <w:ind/>
        <w:jc w:val="center"/>
      </w:pPr>
      <w:r>
        <w:t xml:space="preserve">РОСТОВСКАЯ  ОБЛАСТЬ </w:t>
      </w:r>
    </w:p>
    <w:p w14:paraId="05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6000000">
      <w:pPr>
        <w:widowControl w:val="0"/>
        <w:ind/>
        <w:jc w:val="center"/>
      </w:pPr>
    </w:p>
    <w:p w14:paraId="07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8000000">
      <w:pPr>
        <w:ind/>
        <w:jc w:val="center"/>
      </w:pPr>
    </w:p>
    <w:p w14:paraId="09000000">
      <w:pPr>
        <w:ind/>
        <w:jc w:val="center"/>
      </w:pPr>
      <w:r>
        <w:t>РЕШЕНИЕ</w:t>
      </w:r>
      <w:r>
        <w:t xml:space="preserve">   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>Об изменении</w:t>
      </w:r>
      <w:r>
        <w:t xml:space="preserve"> </w:t>
      </w:r>
      <w:r>
        <w:t>прогнозного плана приватизации муниципального</w:t>
      </w:r>
    </w:p>
    <w:p w14:paraId="0C000000">
      <w:pPr>
        <w:ind/>
        <w:jc w:val="center"/>
      </w:pPr>
      <w:r>
        <w:t xml:space="preserve"> имущества муниципального образования «Обливский рай</w:t>
      </w:r>
      <w:r>
        <w:t>он</w:t>
      </w:r>
      <w:r>
        <w:t>» на 2025</w:t>
      </w:r>
      <w:r>
        <w:t xml:space="preserve"> год</w:t>
      </w:r>
    </w:p>
    <w:p w14:paraId="0D000000">
      <w:pPr>
        <w:ind/>
        <w:jc w:val="center"/>
      </w:pPr>
    </w:p>
    <w:p w14:paraId="0E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</w:t>
      </w:r>
      <w:r>
        <w:t xml:space="preserve">   </w:t>
      </w:r>
    </w:p>
    <w:p w14:paraId="0F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        </w:t>
      </w:r>
      <w:r>
        <w:t xml:space="preserve">         </w:t>
      </w:r>
      <w:r>
        <w:t xml:space="preserve">   26</w:t>
      </w:r>
      <w:r>
        <w:t>.12.2025</w:t>
      </w:r>
      <w:r>
        <w:t xml:space="preserve"> года</w:t>
      </w:r>
    </w:p>
    <w:p w14:paraId="10000000">
      <w:pPr>
        <w:ind/>
        <w:jc w:val="both"/>
      </w:pPr>
    </w:p>
    <w:p w14:paraId="11000000">
      <w:pPr>
        <w:ind w:firstLine="708" w:left="0"/>
        <w:jc w:val="both"/>
      </w:pPr>
      <w:r>
        <w:t>На основании</w:t>
      </w:r>
      <w:r>
        <w:t xml:space="preserve"> Федерального закона Российской Федерации от 21 декабря 2001 года № 178-ФЗ «О приватизации государственного и муниципального имущества», Областного закона от 18 июля 2002 года № 255-ЗС «О приватизации государственного имущества Ростовской области»,</w:t>
      </w:r>
      <w:r>
        <w:t xml:space="preserve"> Собрание депутатов Обливского района</w:t>
      </w:r>
    </w:p>
    <w:p w14:paraId="12000000">
      <w:pPr>
        <w:ind w:firstLine="708" w:left="0"/>
        <w:jc w:val="both"/>
      </w:pPr>
    </w:p>
    <w:p w14:paraId="13000000">
      <w:pPr>
        <w:ind w:firstLine="708" w:left="0"/>
        <w:jc w:val="center"/>
      </w:pPr>
      <w:r>
        <w:t>РЕШИЛО:</w:t>
      </w:r>
    </w:p>
    <w:p w14:paraId="14000000">
      <w:pPr>
        <w:ind w:firstLine="708" w:left="0"/>
        <w:jc w:val="center"/>
      </w:pPr>
    </w:p>
    <w:p w14:paraId="15000000">
      <w:pPr>
        <w:spacing w:line="0" w:lineRule="atLeast"/>
        <w:ind w:firstLine="708" w:left="0"/>
        <w:jc w:val="both"/>
        <w:outlineLvl w:val="1"/>
      </w:pPr>
      <w:r>
        <w:t>1</w:t>
      </w:r>
      <w:r>
        <w:t>. Утвердить</w:t>
      </w:r>
      <w:r>
        <w:t xml:space="preserve"> </w:t>
      </w:r>
      <w:r>
        <w:t>изменение прогнозного</w:t>
      </w:r>
      <w:r>
        <w:t xml:space="preserve"> план</w:t>
      </w:r>
      <w:r>
        <w:t>а</w:t>
      </w:r>
      <w:r>
        <w:t xml:space="preserve"> приватизации муниципального имущества муниципального образ</w:t>
      </w:r>
      <w:r>
        <w:t>овани</w:t>
      </w:r>
      <w:r>
        <w:t>я «Обливский район» на 2025</w:t>
      </w:r>
      <w:r>
        <w:t xml:space="preserve"> год</w:t>
      </w:r>
      <w:r>
        <w:t xml:space="preserve"> согласно приложению.</w:t>
      </w:r>
    </w:p>
    <w:p w14:paraId="16000000">
      <w:pPr>
        <w:ind w:firstLine="720" w:left="0"/>
        <w:jc w:val="both"/>
      </w:pPr>
      <w:r>
        <w:t>2</w:t>
      </w:r>
      <w:r>
        <w:t>. Данное решение вступает в законную силу с  момента официального опубликования.</w:t>
      </w:r>
    </w:p>
    <w:p w14:paraId="17000000">
      <w:pPr>
        <w:ind/>
        <w:jc w:val="both"/>
      </w:pPr>
    </w:p>
    <w:p w14:paraId="18000000">
      <w:pPr>
        <w:ind/>
        <w:jc w:val="both"/>
      </w:pPr>
      <w:r>
        <w:t>Председатель Собрания депутатов-</w:t>
      </w:r>
    </w:p>
    <w:p w14:paraId="19000000">
      <w:pPr>
        <w:ind/>
        <w:jc w:val="both"/>
      </w:pPr>
      <w:r>
        <w:t>глава Обливского района                                                 Е.С. Карамушка</w:t>
      </w:r>
    </w:p>
    <w:p w14:paraId="1A000000">
      <w:pPr>
        <w:ind/>
        <w:jc w:val="both"/>
      </w:pPr>
    </w:p>
    <w:p w14:paraId="1B000000">
      <w:pPr>
        <w:ind/>
        <w:jc w:val="both"/>
      </w:pPr>
      <w:r>
        <w:t>26.12.2025</w:t>
      </w:r>
      <w:r>
        <w:t xml:space="preserve"> года</w:t>
      </w:r>
    </w:p>
    <w:p w14:paraId="1C000000">
      <w:pPr>
        <w:ind/>
        <w:jc w:val="both"/>
      </w:pPr>
      <w:r>
        <w:t>№ 204</w:t>
      </w:r>
    </w:p>
    <w:p w14:paraId="1D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</w:p>
    <w:p w14:paraId="1E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</w:p>
    <w:p w14:paraId="1F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</w:p>
    <w:p w14:paraId="20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</w:p>
    <w:p w14:paraId="21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</w:p>
    <w:p w14:paraId="22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</w:p>
    <w:p w14:paraId="23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</w:p>
    <w:p w14:paraId="24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</w:p>
    <w:p w14:paraId="25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6"/>
        </w:rPr>
      </w:pPr>
      <w:r>
        <w:rPr>
          <w:sz w:val="26"/>
        </w:rPr>
        <w:t xml:space="preserve">Приложение  </w:t>
      </w:r>
      <w:r>
        <w:rPr>
          <w:sz w:val="26"/>
        </w:rPr>
        <w:t xml:space="preserve"> к</w:t>
      </w:r>
      <w:r>
        <w:rPr>
          <w:sz w:val="26"/>
        </w:rPr>
        <w:t xml:space="preserve"> </w:t>
      </w:r>
      <w:r>
        <w:rPr>
          <w:sz w:val="26"/>
        </w:rPr>
        <w:t xml:space="preserve">  Решению Собрания</w:t>
      </w:r>
    </w:p>
    <w:p w14:paraId="26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6"/>
        </w:rPr>
      </w:pPr>
      <w:r>
        <w:rPr>
          <w:sz w:val="26"/>
        </w:rPr>
        <w:t xml:space="preserve">                              депутатов Обливского района </w:t>
      </w:r>
    </w:p>
    <w:p w14:paraId="27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6"/>
        </w:rPr>
      </w:pPr>
      <w:r>
        <w:rPr>
          <w:sz w:val="26"/>
        </w:rPr>
        <w:t>от __.__.</w:t>
      </w:r>
      <w:r>
        <w:rPr>
          <w:sz w:val="26"/>
        </w:rPr>
        <w:t>2025</w:t>
      </w:r>
      <w:r>
        <w:rPr>
          <w:sz w:val="26"/>
        </w:rPr>
        <w:t xml:space="preserve"> г.</w:t>
      </w:r>
    </w:p>
    <w:p w14:paraId="28000000">
      <w:pPr>
        <w:tabs>
          <w:tab w:leader="none" w:pos="7065" w:val="left"/>
        </w:tabs>
        <w:ind/>
        <w:jc w:val="right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                                                                                   № ___ </w:t>
      </w:r>
    </w:p>
    <w:p w14:paraId="29000000">
      <w:pPr>
        <w:ind/>
        <w:jc w:val="right"/>
        <w:rPr>
          <w:b w:val="1"/>
          <w:sz w:val="26"/>
        </w:rPr>
      </w:pPr>
    </w:p>
    <w:p w14:paraId="2A000000">
      <w:pPr>
        <w:ind w:firstLine="627" w:left="0"/>
        <w:jc w:val="center"/>
        <w:rPr>
          <w:b w:val="1"/>
        </w:rPr>
      </w:pPr>
      <w:r>
        <w:rPr>
          <w:b w:val="1"/>
        </w:rPr>
        <w:t>Перечень муниципальн</w:t>
      </w:r>
      <w:r>
        <w:rPr>
          <w:b w:val="1"/>
        </w:rPr>
        <w:t>ого имущества Обливского р</w:t>
      </w:r>
      <w:r>
        <w:rPr>
          <w:b w:val="1"/>
        </w:rPr>
        <w:t>айона, исключаемого  из</w:t>
      </w:r>
      <w:r>
        <w:rPr>
          <w:b w:val="1"/>
        </w:rPr>
        <w:t xml:space="preserve">  план</w:t>
      </w:r>
      <w:r>
        <w:rPr>
          <w:b w:val="1"/>
        </w:rPr>
        <w:t>а</w:t>
      </w:r>
      <w:r>
        <w:rPr>
          <w:b w:val="1"/>
        </w:rPr>
        <w:t xml:space="preserve"> приватизации  на  2025 год</w:t>
      </w:r>
    </w:p>
    <w:p w14:paraId="2B000000">
      <w:pPr>
        <w:ind w:firstLine="627" w:left="0"/>
        <w:jc w:val="center"/>
        <w:rPr>
          <w:b w:val="1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04"/>
        <w:gridCol w:w="1330"/>
        <w:gridCol w:w="1729"/>
        <w:gridCol w:w="1994"/>
      </w:tblGrid>
      <w:tr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14:paraId="2D000000">
            <w:pPr>
              <w:ind w:firstLine="0" w:left="69"/>
              <w:jc w:val="center"/>
              <w:rPr>
                <w:sz w:val="24"/>
              </w:rPr>
            </w:pPr>
            <w:r>
              <w:rPr>
                <w:sz w:val="24"/>
              </w:rPr>
              <w:t>объектов муниципального</w:t>
            </w:r>
          </w:p>
          <w:p w14:paraId="2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имущества, местонахождение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Площадь объекта, (кв. м)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Остаточная балансовая</w:t>
            </w:r>
          </w:p>
          <w:p w14:paraId="3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стоимость муниципального имущества </w:t>
            </w:r>
          </w:p>
          <w:p w14:paraId="3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(тыс. рублей)</w:t>
            </w:r>
          </w:p>
        </w:tc>
        <w:tc>
          <w:tcPr>
            <w:tcW w:type="dxa" w:w="1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 w:firstLine="0"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земельном участке, на котором расположен объект</w:t>
            </w:r>
          </w:p>
        </w:tc>
      </w:tr>
      <w:tr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rPr>
                <w:sz w:val="24"/>
              </w:rPr>
            </w:pPr>
            <w:r>
              <w:rPr>
                <w:sz w:val="24"/>
              </w:rPr>
              <w:t>Здания нежилые:</w:t>
            </w:r>
          </w:p>
          <w:p w14:paraId="39000000">
            <w:pPr>
              <w:rPr>
                <w:sz w:val="24"/>
              </w:rPr>
            </w:pPr>
            <w:r>
              <w:rPr>
                <w:sz w:val="24"/>
              </w:rPr>
              <w:t xml:space="preserve"> школа кадастровый номер 61:27:0060201:489, количество этажей 1, в том числе подземных 0, </w:t>
            </w:r>
          </w:p>
          <w:p w14:paraId="3A000000">
            <w:pPr>
              <w:rPr>
                <w:sz w:val="24"/>
              </w:rPr>
            </w:pPr>
            <w:r>
              <w:rPr>
                <w:sz w:val="24"/>
              </w:rPr>
              <w:t>Сарай  кадастровый номер 61:27:0060201:491 количество этажей 1, в том числе подземных 0,</w:t>
            </w:r>
          </w:p>
          <w:p w14:paraId="3B000000">
            <w:pPr>
              <w:rPr>
                <w:sz w:val="24"/>
              </w:rPr>
            </w:pPr>
            <w:r>
              <w:rPr>
                <w:sz w:val="24"/>
              </w:rPr>
              <w:t xml:space="preserve">Котельная кадастровый номер 61:27:0060201:490, количество этажей 1, в том числе подземных 0, </w:t>
            </w:r>
          </w:p>
          <w:p w14:paraId="3C000000">
            <w:pPr>
              <w:rPr>
                <w:sz w:val="24"/>
              </w:rPr>
            </w:pPr>
            <w:r>
              <w:rPr>
                <w:sz w:val="24"/>
              </w:rPr>
              <w:t>адрес: Ростовская область, Обливский район, х. Сиволобов, ул. Школьная, д. 9</w:t>
            </w:r>
          </w:p>
        </w:tc>
        <w:tc>
          <w:tcPr>
            <w:tcW w:type="dxa" w:w="13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547,8</w:t>
            </w:r>
          </w:p>
          <w:p w14:paraId="3E000000">
            <w:pPr>
              <w:ind/>
              <w:jc w:val="center"/>
              <w:rPr>
                <w:sz w:val="24"/>
              </w:rPr>
            </w:pPr>
          </w:p>
          <w:p w14:paraId="3F000000">
            <w:pPr>
              <w:ind/>
              <w:jc w:val="center"/>
              <w:rPr>
                <w:sz w:val="24"/>
              </w:rPr>
            </w:pPr>
          </w:p>
          <w:p w14:paraId="40000000">
            <w:pPr>
              <w:ind/>
              <w:jc w:val="center"/>
              <w:rPr>
                <w:sz w:val="24"/>
              </w:rPr>
            </w:pPr>
          </w:p>
          <w:p w14:paraId="41000000">
            <w:pPr>
              <w:ind/>
              <w:jc w:val="center"/>
              <w:rPr>
                <w:sz w:val="24"/>
              </w:rPr>
            </w:pPr>
          </w:p>
          <w:p w14:paraId="4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21,4</w:t>
            </w:r>
          </w:p>
          <w:p w14:paraId="43000000">
            <w:pPr>
              <w:ind/>
              <w:jc w:val="center"/>
              <w:rPr>
                <w:sz w:val="24"/>
              </w:rPr>
            </w:pPr>
          </w:p>
          <w:p w14:paraId="44000000">
            <w:pPr>
              <w:ind/>
              <w:jc w:val="center"/>
              <w:rPr>
                <w:sz w:val="24"/>
              </w:rPr>
            </w:pPr>
          </w:p>
          <w:p w14:paraId="45000000">
            <w:pPr>
              <w:ind/>
              <w:jc w:val="center"/>
              <w:rPr>
                <w:sz w:val="24"/>
              </w:rPr>
            </w:pPr>
          </w:p>
          <w:p w14:paraId="4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8000000">
            <w:pPr>
              <w:ind/>
              <w:jc w:val="center"/>
              <w:rPr>
                <w:sz w:val="24"/>
              </w:rPr>
            </w:pPr>
          </w:p>
          <w:p w14:paraId="49000000">
            <w:pPr>
              <w:ind/>
              <w:jc w:val="center"/>
              <w:rPr>
                <w:sz w:val="24"/>
              </w:rPr>
            </w:pPr>
          </w:p>
          <w:p w14:paraId="4A000000">
            <w:pPr>
              <w:ind/>
              <w:jc w:val="center"/>
              <w:rPr>
                <w:sz w:val="24"/>
              </w:rPr>
            </w:pPr>
          </w:p>
          <w:p w14:paraId="4B000000">
            <w:pPr>
              <w:ind/>
              <w:jc w:val="center"/>
              <w:rPr>
                <w:sz w:val="24"/>
              </w:rPr>
            </w:pPr>
          </w:p>
          <w:p w14:paraId="4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rPr>
                <w:sz w:val="24"/>
              </w:rPr>
            </w:pPr>
            <w:r>
              <w:rPr>
                <w:sz w:val="24"/>
              </w:rPr>
              <w:t>КН61:27:0060201:3, площадь 6060 кв.м.</w:t>
            </w:r>
          </w:p>
        </w:tc>
      </w:tr>
    </w:tbl>
    <w:p w14:paraId="4E000000">
      <w:pPr>
        <w:tabs>
          <w:tab w:leader="none" w:pos="3735" w:val="left"/>
        </w:tabs>
        <w:ind/>
      </w:pPr>
    </w:p>
    <w:p w14:paraId="4F000000">
      <w:pPr>
        <w:tabs>
          <w:tab w:leader="none" w:pos="3735" w:val="left"/>
        </w:tabs>
        <w:ind/>
        <w:jc w:val="both"/>
      </w:pPr>
      <w:r>
        <w:t xml:space="preserve">      </w:t>
      </w:r>
      <w:r>
        <w:t xml:space="preserve"> Исключить из доходов от</w:t>
      </w:r>
      <w:r>
        <w:t xml:space="preserve">  приватизации </w:t>
      </w:r>
      <w:r>
        <w:t xml:space="preserve">  имущества </w:t>
      </w:r>
      <w:r>
        <w:t xml:space="preserve">2025 года </w:t>
      </w:r>
      <w:r>
        <w:t xml:space="preserve"> поступление  в    бюджет</w:t>
      </w:r>
      <w:r>
        <w:t xml:space="preserve">  Об</w:t>
      </w:r>
      <w:r>
        <w:t>ливского района  в сумме 400,0</w:t>
      </w:r>
      <w:r>
        <w:t xml:space="preserve"> тыс. руб.</w:t>
      </w:r>
    </w:p>
    <w:p w14:paraId="50000000">
      <w:pPr>
        <w:ind w:firstLine="627" w:left="0"/>
        <w:jc w:val="center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rPr>
      <w:rFonts w:ascii="Tahoma" w:hAnsi="Tahoma"/>
      <w:sz w:val="16"/>
    </w:rPr>
  </w:style>
  <w:style w:styleId="Style_8_ch" w:type="character">
    <w:name w:val="Balloon Text"/>
    <w:basedOn w:val="Style_3_ch"/>
    <w:link w:val="Style_8"/>
    <w:rPr>
      <w:rFonts w:ascii="Tahoma" w:hAnsi="Tahoma"/>
      <w:sz w:val="16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 Indent"/>
    <w:basedOn w:val="Style_3"/>
    <w:link w:val="Style_12_ch"/>
    <w:pPr>
      <w:spacing w:after="120"/>
      <w:ind w:firstLine="0" w:left="283"/>
    </w:pPr>
  </w:style>
  <w:style w:styleId="Style_12_ch" w:type="character">
    <w:name w:val="Body Text Indent"/>
    <w:basedOn w:val="Style_3_ch"/>
    <w:link w:val="Style_12"/>
  </w:style>
  <w:style w:styleId="Style_13" w:type="paragraph">
    <w:name w:val="heading 5"/>
    <w:basedOn w:val="Style_3"/>
    <w:next w:val="Style_3"/>
    <w:link w:val="Style_13_ch"/>
    <w:uiPriority w:val="9"/>
    <w:qFormat/>
    <w:pPr>
      <w:keepNext w:val="1"/>
      <w:ind/>
      <w:outlineLvl w:val="4"/>
    </w:pPr>
    <w:rPr>
      <w:b w:val="1"/>
    </w:rPr>
  </w:style>
  <w:style w:styleId="Style_13_ch" w:type="character">
    <w:name w:val="heading 5"/>
    <w:basedOn w:val="Style_3_ch"/>
    <w:link w:val="Style_13"/>
    <w:rPr>
      <w:b w:val="1"/>
    </w:rPr>
  </w:style>
  <w:style w:styleId="Style_1" w:type="paragraph">
    <w:name w:val="Body Text"/>
    <w:basedOn w:val="Style_3"/>
    <w:link w:val="Style_1_ch"/>
    <w:pPr>
      <w:ind/>
      <w:jc w:val="center"/>
    </w:pPr>
    <w:rPr>
      <w:sz w:val="16"/>
    </w:rPr>
  </w:style>
  <w:style w:styleId="Style_1_ch" w:type="character">
    <w:name w:val="Body Text"/>
    <w:basedOn w:val="Style_3_ch"/>
    <w:link w:val="Style_1"/>
    <w:rPr>
      <w:sz w:val="16"/>
    </w:rPr>
  </w:style>
  <w:style w:styleId="Style_14" w:type="paragraph">
    <w:name w:val="heading 1"/>
    <w:basedOn w:val="Style_3"/>
    <w:next w:val="Style_3"/>
    <w:link w:val="Style_14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4_ch" w:type="character">
    <w:name w:val="heading 1"/>
    <w:basedOn w:val="Style_3_ch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basedOn w:val="Style_3"/>
    <w:link w:val="Style_16_ch"/>
    <w:rPr>
      <w:sz w:val="20"/>
    </w:rPr>
  </w:style>
  <w:style w:styleId="Style_16_ch" w:type="character">
    <w:name w:val="Footnote"/>
    <w:basedOn w:val="Style_3_ch"/>
    <w:link w:val="Style_16"/>
    <w:rPr>
      <w:sz w:val="20"/>
    </w:rPr>
  </w:style>
  <w:style w:styleId="Style_17" w:type="paragraph">
    <w:name w:val="footnote reference"/>
    <w:link w:val="Style_17_ch"/>
    <w:rPr>
      <w:vertAlign w:val="superscript"/>
    </w:rPr>
  </w:style>
  <w:style w:styleId="Style_17_ch" w:type="character">
    <w:name w:val="footnote reference"/>
    <w:link w:val="Style_17"/>
    <w:rPr>
      <w:vertAlign w:val="superscript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7_ch" w:type="character">
    <w:name w:val="heading 2"/>
    <w:basedOn w:val="Style_3_ch"/>
    <w:link w:val="Style_27"/>
    <w:rPr>
      <w:b w:val="1"/>
      <w:sz w:val="24"/>
    </w:rPr>
  </w:style>
  <w:style w:styleId="Style_28" w:type="paragraph">
    <w:name w:val="heading 6"/>
    <w:basedOn w:val="Style_3"/>
    <w:next w:val="Style_3"/>
    <w:link w:val="Style_28_ch"/>
    <w:uiPriority w:val="9"/>
    <w:qFormat/>
    <w:pPr>
      <w:keepNext w:val="1"/>
      <w:ind/>
      <w:jc w:val="center"/>
      <w:outlineLvl w:val="5"/>
    </w:pPr>
    <w:rPr>
      <w:b w:val="1"/>
    </w:rPr>
  </w:style>
  <w:style w:styleId="Style_28_ch" w:type="character">
    <w:name w:val="heading 6"/>
    <w:basedOn w:val="Style_3_ch"/>
    <w:link w:val="Style_28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2025-12-29T05:45:57Z</dcterms:modified>
</cp:coreProperties>
</file>