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ОТЧЕТ</w:t>
      </w:r>
    </w:p>
    <w:p w14:paraId="02000000">
      <w:pPr>
        <w:pStyle w:val="Style_1"/>
        <w:ind/>
        <w:jc w:val="center"/>
        <w:rPr>
          <w:rFonts w:ascii="Times New Roman" w:hAnsi="Times New Roman"/>
          <w:color w:themeColor="dark1" w:val="000000"/>
          <w:sz w:val="20"/>
        </w:rPr>
      </w:pPr>
      <w:r>
        <w:rPr>
          <w:rFonts w:ascii="Times New Roman" w:hAnsi="Times New Roman"/>
          <w:sz w:val="24"/>
        </w:rPr>
        <w:t>об исполнении плана реализации муниципальной программы</w:t>
      </w:r>
    </w:p>
    <w:p w14:paraId="03000000">
      <w:pPr>
        <w:spacing w:line="276" w:lineRule="auto"/>
        <w:ind w:firstLine="0" w:left="-142"/>
        <w:jc w:val="center"/>
        <w:rPr>
          <w:sz w:val="28"/>
        </w:rPr>
      </w:pPr>
      <w:r>
        <w:rPr>
          <w:rFonts w:ascii="Times New Roman" w:hAnsi="Times New Roman"/>
          <w:sz w:val="24"/>
        </w:rPr>
        <w:t>«Обеспечение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 xml:space="preserve"> качественными </w:t>
      </w:r>
      <w:r>
        <w:rPr>
          <w:rFonts w:ascii="Times New Roman" w:hAnsi="Times New Roman"/>
          <w:sz w:val="24"/>
        </w:rPr>
        <w:t>жилищно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коммунальными 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 xml:space="preserve">   услугами </w:t>
      </w:r>
      <w:r>
        <w:rPr>
          <w:rFonts w:ascii="Times New Roman" w:hAnsi="Times New Roman"/>
          <w:sz w:val="24"/>
        </w:rPr>
        <w:t>населения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>Обливского района»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>за отчетный период _9</w:t>
      </w:r>
      <w:r>
        <w:rPr>
          <w:rFonts w:ascii="Times New Roman" w:hAnsi="Times New Roman"/>
          <w:sz w:val="24"/>
        </w:rPr>
        <w:t>_ мес. 20</w:t>
      </w:r>
      <w:r>
        <w:rPr>
          <w:rFonts w:ascii="Times New Roman" w:hAnsi="Times New Roman"/>
          <w:sz w:val="24"/>
        </w:rPr>
        <w:t>23</w:t>
      </w:r>
      <w:bookmarkStart w:id="1" w:name="_GoBack"/>
      <w:bookmarkEnd w:id="1"/>
      <w:r>
        <w:rPr>
          <w:rFonts w:ascii="Times New Roman" w:hAnsi="Times New Roman"/>
          <w:sz w:val="24"/>
        </w:rPr>
        <w:t xml:space="preserve"> г.</w:t>
      </w:r>
    </w:p>
    <w:p w14:paraId="04000000">
      <w:pPr>
        <w:pStyle w:val="Style_1"/>
        <w:ind/>
        <w:jc w:val="center"/>
        <w:rPr>
          <w:rFonts w:ascii="Times New Roman" w:hAnsi="Times New Roman"/>
          <w:sz w:val="24"/>
        </w:rPr>
      </w:pPr>
    </w:p>
    <w:tbl>
      <w:tblPr>
        <w:tblStyle w:val="Style_2"/>
        <w:tblInd w:type="dxa" w:w="-351"/>
        <w:tblLayout w:type="fixed"/>
        <w:tblCellMar>
          <w:left w:type="dxa" w:w="75"/>
          <w:right w:type="dxa" w:w="75"/>
        </w:tblCellMar>
      </w:tblPr>
      <w:tblGrid>
        <w:gridCol w:w="426"/>
        <w:gridCol w:w="2905"/>
        <w:gridCol w:w="2220"/>
        <w:gridCol w:w="1275"/>
        <w:gridCol w:w="1089"/>
        <w:gridCol w:w="1559"/>
        <w:gridCol w:w="1843"/>
        <w:gridCol w:w="1700"/>
        <w:gridCol w:w="993"/>
        <w:gridCol w:w="1558"/>
      </w:tblGrid>
      <w:tr>
        <w:trPr>
          <w:trHeight w:hRule="atLeast" w:val="573"/>
        </w:trPr>
        <w:tc>
          <w:tcPr>
            <w:tcW w:type="dxa" w:w="42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05000000">
            <w:pPr>
              <w:pStyle w:val="Style_3"/>
              <w:ind w:right="-75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№ п/п</w:t>
            </w:r>
          </w:p>
        </w:tc>
        <w:tc>
          <w:tcPr>
            <w:tcW w:type="dxa" w:w="290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06000000">
            <w:pPr>
              <w:pStyle w:val="Style_3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Номер и наименование</w:t>
            </w:r>
          </w:p>
          <w:p w14:paraId="07000000">
            <w:pPr>
              <w:pStyle w:val="Style_3"/>
              <w:ind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222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08000000">
            <w:pPr>
              <w:pStyle w:val="Style_3"/>
              <w:ind w:firstLine="0" w:left="-75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Ответственный </w:t>
            </w:r>
            <w:r>
              <w:rPr>
                <w:rFonts w:ascii="Times New Roman" w:hAnsi="Times New Roman"/>
                <w:sz w:val="22"/>
              </w:rPr>
              <w:br/>
            </w:r>
            <w:r>
              <w:rPr>
                <w:rFonts w:ascii="Times New Roman" w:hAnsi="Times New Roman"/>
                <w:sz w:val="22"/>
              </w:rPr>
              <w:t xml:space="preserve"> исполнитель, сои</w:t>
            </w:r>
            <w:r>
              <w:rPr>
                <w:rFonts w:ascii="Times New Roman" w:hAnsi="Times New Roman"/>
                <w:sz w:val="22"/>
              </w:rPr>
              <w:t>с</w:t>
            </w:r>
            <w:r>
              <w:rPr>
                <w:rFonts w:ascii="Times New Roman" w:hAnsi="Times New Roman"/>
                <w:sz w:val="22"/>
              </w:rPr>
              <w:t>полнитель, участник</w:t>
            </w:r>
            <w:r>
              <w:rPr>
                <w:rFonts w:ascii="Times New Roman" w:hAnsi="Times New Roman"/>
                <w:sz w:val="22"/>
              </w:rPr>
              <w:br/>
            </w:r>
            <w:r>
              <w:rPr>
                <w:rFonts w:ascii="Times New Roman" w:hAnsi="Times New Roman"/>
                <w:sz w:val="22"/>
              </w:rPr>
              <w:t xml:space="preserve">(должность/ ФИО) </w:t>
            </w:r>
            <w:r>
              <w:rPr>
                <w:rFonts w:ascii="Times New Roman" w:hAnsi="Times New Roman"/>
                <w:sz w:val="22"/>
              </w:rPr>
              <w:t>&lt;1&gt;</w:t>
            </w:r>
          </w:p>
        </w:tc>
        <w:tc>
          <w:tcPr>
            <w:tcW w:type="dxa" w:w="127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09000000">
            <w:pPr>
              <w:pStyle w:val="Style_3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Результат </w:t>
            </w:r>
          </w:p>
          <w:p w14:paraId="0A000000">
            <w:pPr>
              <w:pStyle w:val="Style_3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реализации (краткое описание)</w:t>
            </w:r>
          </w:p>
        </w:tc>
        <w:tc>
          <w:tcPr>
            <w:tcW w:type="dxa" w:w="108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0B000000">
            <w:pPr>
              <w:pStyle w:val="Style_3"/>
              <w:ind w:firstLine="0" w:left="-74" w:right="-75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Факти-ческая</w:t>
            </w:r>
            <w:r>
              <w:rPr>
                <w:rFonts w:ascii="Times New Roman" w:hAnsi="Times New Roman"/>
                <w:sz w:val="22"/>
              </w:rPr>
              <w:t xml:space="preserve"> дата начала</w:t>
            </w:r>
            <w:r>
              <w:rPr>
                <w:rFonts w:ascii="Times New Roman" w:hAnsi="Times New Roman"/>
                <w:sz w:val="22"/>
              </w:rPr>
              <w:br/>
            </w:r>
            <w:r>
              <w:rPr>
                <w:rFonts w:ascii="Times New Roman" w:hAnsi="Times New Roman"/>
                <w:sz w:val="22"/>
              </w:rPr>
              <w:t>реали-зации</w:t>
            </w:r>
          </w:p>
        </w:tc>
        <w:tc>
          <w:tcPr>
            <w:tcW w:type="dxa" w:w="155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0C000000">
            <w:pPr>
              <w:pStyle w:val="Style_3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Фактическая дата оконч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ния</w:t>
            </w:r>
            <w:r>
              <w:rPr>
                <w:rFonts w:ascii="Times New Roman" w:hAnsi="Times New Roman"/>
                <w:sz w:val="22"/>
              </w:rPr>
              <w:br/>
            </w:r>
            <w:r>
              <w:rPr>
                <w:rFonts w:ascii="Times New Roman" w:hAnsi="Times New Roman"/>
                <w:sz w:val="22"/>
              </w:rPr>
              <w:t xml:space="preserve">реализации, </w:t>
            </w:r>
            <w:r>
              <w:rPr>
                <w:rFonts w:ascii="Times New Roman" w:hAnsi="Times New Roman"/>
                <w:sz w:val="22"/>
              </w:rPr>
              <w:br/>
            </w:r>
            <w:r>
              <w:rPr>
                <w:rFonts w:ascii="Times New Roman" w:hAnsi="Times New Roman"/>
                <w:sz w:val="22"/>
              </w:rPr>
              <w:t xml:space="preserve">наступления </w:t>
            </w:r>
            <w:r>
              <w:rPr>
                <w:rFonts w:ascii="Times New Roman" w:hAnsi="Times New Roman"/>
                <w:sz w:val="22"/>
              </w:rPr>
              <w:br/>
            </w:r>
            <w:r>
              <w:rPr>
                <w:rFonts w:ascii="Times New Roman" w:hAnsi="Times New Roman"/>
                <w:sz w:val="22"/>
              </w:rPr>
              <w:t xml:space="preserve">контрольного </w:t>
            </w:r>
            <w:r>
              <w:rPr>
                <w:rFonts w:ascii="Times New Roman" w:hAnsi="Times New Roman"/>
                <w:sz w:val="22"/>
              </w:rPr>
              <w:br/>
            </w:r>
            <w:r>
              <w:rPr>
                <w:rFonts w:ascii="Times New Roman" w:hAnsi="Times New Roman"/>
                <w:sz w:val="22"/>
              </w:rPr>
              <w:t>события</w:t>
            </w:r>
          </w:p>
        </w:tc>
        <w:tc>
          <w:tcPr>
            <w:tcW w:type="dxa" w:w="453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0D000000">
            <w:pPr>
              <w:pStyle w:val="Style_3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Расходы  бюджета </w:t>
            </w:r>
            <w:r>
              <w:rPr>
                <w:rFonts w:ascii="Times New Roman" w:hAnsi="Times New Roman"/>
                <w:sz w:val="22"/>
              </w:rPr>
              <w:t>Обливского</w:t>
            </w:r>
            <w:r>
              <w:rPr>
                <w:rFonts w:ascii="Times New Roman" w:hAnsi="Times New Roman"/>
                <w:sz w:val="22"/>
              </w:rPr>
              <w:t xml:space="preserve"> района на реализ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цию муниципальной программы, тыс. рублей</w:t>
            </w:r>
          </w:p>
        </w:tc>
        <w:tc>
          <w:tcPr>
            <w:tcW w:type="dxa" w:w="155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0E000000">
            <w:pPr>
              <w:pStyle w:val="Style_3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Объемы н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 xml:space="preserve">освоенных средств и причины их </w:t>
            </w:r>
            <w:r>
              <w:rPr>
                <w:rFonts w:ascii="Times New Roman" w:hAnsi="Times New Roman"/>
                <w:sz w:val="22"/>
              </w:rPr>
              <w:t>не освоения</w:t>
            </w:r>
          </w:p>
          <w:p w14:paraId="0F000000">
            <w:pPr>
              <w:pStyle w:val="Style_3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&lt;2&gt;</w:t>
            </w:r>
          </w:p>
        </w:tc>
      </w:tr>
      <w:tr>
        <w:trPr>
          <w:trHeight w:hRule="atLeast" w:val="720"/>
        </w:trPr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/>
        </w:tc>
        <w:tc>
          <w:tcPr>
            <w:tcW w:type="dxa" w:w="29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/>
        </w:tc>
        <w:tc>
          <w:tcPr>
            <w:tcW w:type="dxa" w:w="222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/>
        </w:tc>
        <w:tc>
          <w:tcPr>
            <w:tcW w:type="dxa" w:w="12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/>
        </w:tc>
        <w:tc>
          <w:tcPr>
            <w:tcW w:type="dxa" w:w="108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/>
        </w:tc>
        <w:tc>
          <w:tcPr>
            <w:tcW w:type="dxa" w:w="15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/>
        </w:tc>
        <w:tc>
          <w:tcPr>
            <w:tcW w:type="dxa" w:w="1843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10000000">
            <w:pPr>
              <w:pStyle w:val="Style_3"/>
              <w:ind w:firstLine="0" w:left="-75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предусмотрено</w:t>
            </w:r>
          </w:p>
          <w:p w14:paraId="11000000">
            <w:pPr>
              <w:pStyle w:val="Style_3"/>
              <w:ind w:firstLine="0" w:left="-75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муниципальной программой</w:t>
            </w:r>
          </w:p>
        </w:tc>
        <w:tc>
          <w:tcPr>
            <w:tcW w:type="dxa" w:w="170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12000000">
            <w:pPr>
              <w:pStyle w:val="Style_3"/>
              <w:ind w:firstLine="0" w:left="-75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предусмотрено сводной бю</w:t>
            </w:r>
            <w:r>
              <w:rPr>
                <w:rFonts w:ascii="Times New Roman" w:hAnsi="Times New Roman"/>
                <w:sz w:val="22"/>
              </w:rPr>
              <w:t>д</w:t>
            </w:r>
            <w:r>
              <w:rPr>
                <w:rFonts w:ascii="Times New Roman" w:hAnsi="Times New Roman"/>
                <w:sz w:val="22"/>
              </w:rPr>
              <w:t>жетной росп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сью</w:t>
            </w:r>
          </w:p>
        </w:tc>
        <w:tc>
          <w:tcPr>
            <w:tcW w:type="dxa" w:w="993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13000000">
            <w:pPr>
              <w:pStyle w:val="Style_3"/>
              <w:ind w:firstLine="0" w:left="-76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факт на отче</w:t>
            </w:r>
            <w:r>
              <w:rPr>
                <w:rFonts w:ascii="Times New Roman" w:hAnsi="Times New Roman"/>
                <w:sz w:val="22"/>
              </w:rPr>
              <w:t>т</w:t>
            </w:r>
            <w:r>
              <w:rPr>
                <w:rFonts w:ascii="Times New Roman" w:hAnsi="Times New Roman"/>
                <w:sz w:val="22"/>
              </w:rPr>
              <w:t xml:space="preserve">ную дату </w:t>
            </w:r>
          </w:p>
        </w:tc>
        <w:tc>
          <w:tcPr>
            <w:tcW w:type="dxa" w:w="155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/>
        </w:tc>
      </w:tr>
    </w:tbl>
    <w:p w14:paraId="14000000">
      <w:pPr>
        <w:pStyle w:val="Style_1"/>
        <w:ind/>
        <w:jc w:val="center"/>
        <w:rPr>
          <w:rFonts w:ascii="Times New Roman" w:hAnsi="Times New Roman"/>
          <w:sz w:val="6"/>
        </w:rPr>
      </w:pPr>
    </w:p>
    <w:p w14:paraId="15000000">
      <w:pPr>
        <w:pStyle w:val="Style_1"/>
        <w:ind/>
        <w:jc w:val="center"/>
        <w:rPr>
          <w:rFonts w:ascii="Times New Roman" w:hAnsi="Times New Roman"/>
          <w:sz w:val="2"/>
        </w:rPr>
      </w:pPr>
    </w:p>
    <w:tbl>
      <w:tblPr>
        <w:tblStyle w:val="Style_2"/>
        <w:tblInd w:type="dxa" w:w="-35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75"/>
          <w:right w:type="dxa" w:w="75"/>
        </w:tblCellMar>
      </w:tblPr>
      <w:tblGrid>
        <w:gridCol w:w="426"/>
        <w:gridCol w:w="2890"/>
        <w:gridCol w:w="2235"/>
        <w:gridCol w:w="1283"/>
        <w:gridCol w:w="1089"/>
        <w:gridCol w:w="1559"/>
        <w:gridCol w:w="1843"/>
        <w:gridCol w:w="1700"/>
        <w:gridCol w:w="993"/>
        <w:gridCol w:w="1558"/>
      </w:tblGrid>
      <w:tr>
        <w:trPr>
          <w:tblHeader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16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2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17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18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19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1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1A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1B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1C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1D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1E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1F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</w:tr>
      <w:tr>
        <w:trPr>
          <w:trHeight w:hRule="atLeast" w:val="202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2000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2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21000000">
            <w:pPr>
              <w:pStyle w:val="Style_3"/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Подпрограмма 1 </w:t>
            </w:r>
            <w:r>
              <w:rPr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«Создание условий для 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обеспечения бесперебойности и роста качества жилищно-коммунальных услуг на территории </w:t>
            </w:r>
            <w:r>
              <w:rPr>
                <w:rFonts w:ascii="Times New Roman" w:hAnsi="Times New Roman"/>
                <w:sz w:val="20"/>
              </w:rPr>
              <w:t>Обливского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района</w:t>
            </w:r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22000000">
            <w:pPr>
              <w:pStyle w:val="Style_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23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type="dxa" w:w="1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24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25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26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30 497,70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27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30 497,70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28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5 444,72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29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25 052,98</w:t>
            </w:r>
          </w:p>
        </w:tc>
      </w:tr>
      <w:tr>
        <w:trPr>
          <w:trHeight w:hRule="atLeast" w:val="794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2A00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2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75"/>
              <w:bottom w:type="dxa" w:w="0"/>
              <w:right w:type="dxa" w:w="75"/>
            </w:tcMar>
          </w:tcPr>
          <w:p w14:paraId="2B000000">
            <w:pPr>
              <w:spacing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Основное мероприятие </w:t>
            </w:r>
            <w:r>
              <w:rPr>
                <w:rFonts w:ascii="Times New Roman" w:hAnsi="Times New Roman"/>
                <w:color w:val="000000"/>
                <w:sz w:val="20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.1. </w:t>
            </w:r>
            <w:r>
              <w:rPr>
                <w:rFonts w:ascii="Times New Roman" w:hAnsi="Times New Roman"/>
                <w:color w:val="000000"/>
                <w:sz w:val="20"/>
              </w:rPr>
              <w:t>Приобретение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контейнеров и оборудование контейнерных площадок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2C000000">
            <w:pPr>
              <w:pStyle w:val="Style_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2D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2E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2F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0000000">
            <w:pPr>
              <w:ind w:firstLine="0" w:left="113" w:right="113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1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2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3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</w:tr>
      <w:tr>
        <w:trPr>
          <w:trHeight w:hRule="atLeast" w:val="694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3400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2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75"/>
              <w:bottom w:type="dxa" w:w="0"/>
              <w:right w:type="dxa" w:w="75"/>
            </w:tcMar>
          </w:tcPr>
          <w:p w14:paraId="35000000">
            <w:pPr>
              <w:spacing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Основное мероприятие </w:t>
            </w:r>
            <w:r>
              <w:rPr>
                <w:rFonts w:ascii="Times New Roman" w:hAnsi="Times New Roman"/>
                <w:color w:val="000000"/>
                <w:sz w:val="20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.2. </w:t>
            </w:r>
            <w:r>
              <w:rPr>
                <w:rFonts w:ascii="Times New Roman" w:hAnsi="Times New Roman"/>
                <w:spacing w:val="-10"/>
                <w:sz w:val="20"/>
              </w:rPr>
              <w:t>Приобретение водонапорных башен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36000000">
            <w:pPr>
              <w:pStyle w:val="Style_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37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38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39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3A0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3B0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3C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3D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0,0 </w:t>
            </w:r>
          </w:p>
        </w:tc>
      </w:tr>
      <w:tr>
        <w:trPr>
          <w:trHeight w:hRule="atLeast" w:val="704"/>
          <w:hidden w:val="0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3E00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2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75"/>
              <w:bottom w:type="dxa" w:w="0"/>
              <w:right w:type="dxa" w:w="75"/>
            </w:tcMar>
          </w:tcPr>
          <w:p w14:paraId="3F000000">
            <w:pPr>
              <w:spacing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Основное мероприятие 1.3.    </w:t>
            </w:r>
            <w:r>
              <w:rPr>
                <w:rFonts w:ascii="Times New Roman" w:hAnsi="Times New Roman"/>
                <w:color w:val="000000"/>
                <w:sz w:val="20"/>
              </w:rPr>
              <w:t>Установка водонапорных башен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0000000">
            <w:pPr>
              <w:pStyle w:val="Style_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1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2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3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  <w:vAlign w:val="top"/>
          </w:tcPr>
          <w:p w14:paraId="44000000">
            <w:pPr>
              <w:ind w:firstLine="0" w:left="113" w:right="113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5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6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7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  <w:p w14:paraId="48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684"/>
          <w:hidden w:val="0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900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2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75"/>
              <w:bottom w:type="dxa" w:w="0"/>
              <w:right w:type="dxa" w:w="75"/>
            </w:tcMar>
          </w:tcPr>
          <w:p w14:paraId="4A000000">
            <w:pPr>
              <w:spacing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Основное мероприятие 1.4. </w:t>
            </w:r>
            <w:r>
              <w:rPr>
                <w:rFonts w:ascii="Times New Roman" w:hAnsi="Times New Roman"/>
                <w:color w:val="000000"/>
                <w:sz w:val="20"/>
              </w:rPr>
              <w:t>Приобретение коммунальной техники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B000000">
            <w:pPr>
              <w:pStyle w:val="Style_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C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D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E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  <w:vAlign w:val="top"/>
          </w:tcPr>
          <w:p w14:paraId="4F000000">
            <w:pPr>
              <w:ind w:firstLine="0" w:left="113" w:right="113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0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1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2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  <w:p w14:paraId="53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263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5400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2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75"/>
              <w:bottom w:type="dxa" w:w="0"/>
              <w:right w:type="dxa" w:w="75"/>
            </w:tcMar>
          </w:tcPr>
          <w:p w14:paraId="55000000">
            <w:pPr>
              <w:spacing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1.</w:t>
            </w:r>
            <w:r>
              <w:rPr>
                <w:rFonts w:ascii="Times New Roman" w:hAnsi="Times New Roman"/>
                <w:color w:val="000000"/>
                <w:sz w:val="20"/>
              </w:rPr>
              <w:t>5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Субсидии организациям, осуществляющим деятельность в сфере жилищно-коммунального хозяйства на возмещение затрат связанных с выполнением работ и оказанием услуг по водоснабжению и водоотведению потребителям Обливского района 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6000000">
            <w:pPr>
              <w:pStyle w:val="Style_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57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58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59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  <w:vAlign w:val="top"/>
          </w:tcPr>
          <w:p w14:paraId="5A000000">
            <w:pPr>
              <w:ind w:firstLine="0" w:left="113" w:right="113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B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C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D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  <w:p w14:paraId="5E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1310"/>
          <w:hidden w:val="0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5F00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2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75"/>
              <w:bottom w:type="dxa" w:w="0"/>
              <w:right w:type="dxa" w:w="75"/>
            </w:tcMar>
          </w:tcPr>
          <w:p w14:paraId="60000000">
            <w:pPr>
              <w:spacing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Основное мероприятие 1.6. </w:t>
            </w:r>
            <w:r>
              <w:rPr>
                <w:rFonts w:ascii="Times New Roman" w:hAnsi="Times New Roman"/>
                <w:color w:val="000000"/>
                <w:sz w:val="20"/>
              </w:rPr>
              <w:t>Расходы на возмещение предприятиям жилищно-коммунального хозяйства части платы граждан за коммунальные услуги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61000000">
            <w:pPr>
              <w:pStyle w:val="Style_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62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63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64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65000000">
            <w:pPr>
              <w:ind w:firstLine="0"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5 247,9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66000000">
            <w:pPr>
              <w:ind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5 247,9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67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3 827,0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68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1 420,9</w:t>
            </w:r>
          </w:p>
          <w:p w14:paraId="69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</w:t>
            </w:r>
            <w:r>
              <w:rPr>
                <w:rFonts w:ascii="Times New Roman" w:hAnsi="Times New Roman"/>
                <w:sz w:val="20"/>
              </w:rPr>
              <w:t>оплата согласно графика)</w:t>
            </w:r>
          </w:p>
        </w:tc>
      </w:tr>
      <w:tr>
        <w:trPr>
          <w:trHeight w:hRule="atLeast" w:val="263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6A00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2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75"/>
              <w:bottom w:type="dxa" w:w="0"/>
              <w:right w:type="dxa" w:w="75"/>
            </w:tcMar>
          </w:tcPr>
          <w:p w14:paraId="6B000000">
            <w:pPr>
              <w:spacing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Основное мероприятие 1.7. </w:t>
            </w:r>
            <w:r>
              <w:rPr>
                <w:rFonts w:ascii="Times New Roman" w:hAnsi="Times New Roman"/>
                <w:color w:val="000000"/>
                <w:sz w:val="20"/>
              </w:rPr>
              <w:t>Расходы на проектно-сметную документацию по объекту: «Капитальный ремонт артезианской скважины, расположенной по адресу: Ростовская обл., Обливский р-н, 1000 м на восток от п. Средний Чир»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6C000000">
            <w:pPr>
              <w:pStyle w:val="Style_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6D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6E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6F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70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71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72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73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</w:tr>
      <w:tr>
        <w:trPr>
          <w:trHeight w:hRule="atLeast" w:val="263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7400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2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75"/>
              <w:bottom w:type="dxa" w:w="0"/>
              <w:right w:type="dxa" w:w="75"/>
            </w:tcMar>
          </w:tcPr>
          <w:p w14:paraId="7500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Основное мероприятие 1.8. </w:t>
            </w:r>
            <w:r>
              <w:rPr>
                <w:rFonts w:ascii="Times New Roman" w:hAnsi="Times New Roman"/>
                <w:color w:val="000000"/>
                <w:sz w:val="20"/>
              </w:rPr>
              <w:t>Расходы на капитальный ремонт  буровой разведочно-эксплуатационной скважины № 128-Р для водоснабжения п. Пухов Обливского р-на, Ростовской обл., расположенной по адресу: Россия, Ростовская обл., Обливский район, в 35 м на юг от п. Пухов»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76000000">
            <w:pPr>
              <w:pStyle w:val="Style_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77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78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79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7A000000">
            <w:pPr>
              <w:ind w:firstLine="0"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7B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7C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7D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</w:tr>
      <w:tr>
        <w:trPr>
          <w:trHeight w:hRule="atLeast" w:val="263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7E00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2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75"/>
              <w:bottom w:type="dxa" w:w="0"/>
              <w:right w:type="dxa" w:w="75"/>
            </w:tcMar>
          </w:tcPr>
          <w:p w14:paraId="7F000000">
            <w:pPr>
              <w:spacing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1.</w:t>
            </w:r>
            <w:r>
              <w:rPr>
                <w:rFonts w:ascii="Times New Roman" w:hAnsi="Times New Roman"/>
                <w:color w:val="000000"/>
                <w:sz w:val="20"/>
              </w:rPr>
              <w:t>9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0"/>
              </w:rPr>
              <w:t>Расходы на капитальный ремонт артезианской скважины №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</w:rPr>
              <w:t>12035, расположенной по адресу: Ростовская обл., Обливский район, 1000 м на восток от п. Средний Чир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80000000">
            <w:pPr>
              <w:pStyle w:val="Style_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81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82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83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84000000">
            <w:pPr>
              <w:ind w:firstLine="0"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1 384,1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85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1 384,1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86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87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1 384,1</w:t>
            </w:r>
          </w:p>
          <w:p w14:paraId="88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(не подошел срок оплаты)</w:t>
            </w:r>
          </w:p>
        </w:tc>
      </w:tr>
      <w:tr>
        <w:trPr>
          <w:trHeight w:hRule="atLeast" w:val="263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8900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2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75"/>
              <w:bottom w:type="dxa" w:w="0"/>
              <w:right w:type="dxa" w:w="75"/>
            </w:tcMar>
          </w:tcPr>
          <w:p w14:paraId="8A00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1.</w:t>
            </w: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.                            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Расходы на проектно-сметную документацию по объекту: «Реконструкция системы водоснабжения ст. Обливской Обливского района Ростовской области (1 этап)»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8B000000">
            <w:pPr>
              <w:pStyle w:val="Style_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8C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8D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8E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8F000000">
            <w:pPr>
              <w:ind w:firstLine="0"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20 805,2</w:t>
            </w:r>
          </w:p>
          <w:p w14:paraId="90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91000000">
            <w:pPr>
              <w:ind w:firstLine="0"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20 805,2</w:t>
            </w:r>
          </w:p>
          <w:p w14:paraId="92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  <w:p w14:paraId="93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94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95000000">
            <w:pPr>
              <w:ind w:firstLine="0"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20 805,2    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(не подошел срок оплаты)</w:t>
            </w:r>
          </w:p>
        </w:tc>
      </w:tr>
      <w:tr>
        <w:trPr>
          <w:trHeight w:hRule="atLeast" w:val="263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9600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2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75"/>
              <w:bottom w:type="dxa" w:w="0"/>
              <w:right w:type="dxa" w:w="75"/>
            </w:tcMar>
          </w:tcPr>
          <w:p w14:paraId="9700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1.</w:t>
            </w:r>
            <w:r>
              <w:rPr>
                <w:rFonts w:ascii="Times New Roman" w:hAnsi="Times New Roman"/>
                <w:color w:val="000000"/>
                <w:sz w:val="20"/>
              </w:rPr>
              <w:t>11</w:t>
            </w:r>
            <w:r>
              <w:rPr>
                <w:rFonts w:ascii="Times New Roman" w:hAnsi="Times New Roman"/>
                <w:color w:val="000000"/>
                <w:sz w:val="20"/>
              </w:rPr>
              <w:t>.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Расходы на проектно-сметную документацию по объекту: «Реконструкция водопроводных сетей х. Караичев, х. Паршин Обливского района Ростовской области»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98000000">
            <w:pPr>
              <w:pStyle w:val="Style_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99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9A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9B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9C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9D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9E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9F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</w:tr>
      <w:tr>
        <w:trPr>
          <w:trHeight w:hRule="atLeast" w:val="263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A000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2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75"/>
              <w:bottom w:type="dxa" w:w="0"/>
              <w:right w:type="dxa" w:w="75"/>
            </w:tcMar>
          </w:tcPr>
          <w:p w14:paraId="A1000000">
            <w:pPr>
              <w:spacing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1.</w:t>
            </w:r>
            <w:r>
              <w:rPr>
                <w:rFonts w:ascii="Times New Roman" w:hAnsi="Times New Roman"/>
                <w:color w:val="000000"/>
                <w:sz w:val="20"/>
              </w:rPr>
              <w:t>12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0"/>
              </w:rPr>
              <w:t>Мероприятия по обеспечению качественными жилищно-коммунальными услугами населения Обливского района в рамках подпрограммы «Создание условий для обеспечения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бесперебойности и роста качества жилищно-коммунальных услуг на территории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A2000000">
            <w:pPr>
              <w:pStyle w:val="Style_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A3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A4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A5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A6000000">
            <w:pPr>
              <w:ind w:firstLine="0" w:left="113" w:right="113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948,5</w:t>
            </w:r>
          </w:p>
          <w:p w14:paraId="A7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A8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948,5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A9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900,0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AA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48,5    </w:t>
            </w:r>
            <w:r>
              <w:rPr>
                <w:rFonts w:ascii="Times New Roman" w:hAnsi="Times New Roman"/>
                <w:sz w:val="20"/>
              </w:rPr>
              <w:t xml:space="preserve">        </w:t>
            </w:r>
            <w:r>
              <w:rPr>
                <w:rFonts w:ascii="Times New Roman" w:hAnsi="Times New Roman"/>
                <w:sz w:val="20"/>
              </w:rPr>
              <w:t>(</w:t>
            </w:r>
            <w:r>
              <w:rPr>
                <w:rFonts w:ascii="Times New Roman" w:hAnsi="Times New Roman"/>
                <w:sz w:val="20"/>
              </w:rPr>
              <w:t>оплата согласно графика)</w:t>
            </w:r>
          </w:p>
        </w:tc>
      </w:tr>
      <w:tr>
        <w:trPr>
          <w:trHeight w:hRule="atLeast" w:val="263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AB00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2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75"/>
              <w:bottom w:type="dxa" w:w="0"/>
              <w:right w:type="dxa" w:w="75"/>
            </w:tcMar>
          </w:tcPr>
          <w:p w14:paraId="AC00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1.</w:t>
            </w: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  <w:r>
              <w:rPr>
                <w:rFonts w:ascii="Times New Roman" w:hAnsi="Times New Roman"/>
                <w:color w:val="000000"/>
                <w:sz w:val="20"/>
              </w:rPr>
              <w:t>.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</w:rPr>
              <w:t>Расходы за счет средств субсидий из резервного фонда Правительства Ростовской области в рамках подпрограммы «</w:t>
            </w:r>
            <w:r>
              <w:rPr>
                <w:rFonts w:ascii="Times New Roman" w:hAnsi="Times New Roman"/>
                <w:color w:val="000000"/>
                <w:sz w:val="20"/>
              </w:rPr>
              <w:t>Создание условий для обеспечения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бесперебойности и роста качества жилищно-коммунальных услуг на территории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Обливского района</w:t>
            </w:r>
            <w:r>
              <w:rPr>
                <w:rFonts w:ascii="Times New Roman" w:hAnsi="Times New Roman"/>
                <w:color w:val="000000"/>
                <w:sz w:val="20"/>
              </w:rPr>
              <w:t>» муниципальной программы Обливского района «Обеспечение качественными жилищно-коммунальными услугами населения Обливского района»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AD000000">
            <w:pPr>
              <w:pStyle w:val="Style_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AE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AF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B0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B1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B2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B3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B4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</w:tr>
      <w:tr>
        <w:trPr>
          <w:trHeight w:hRule="atLeast" w:val="263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B500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2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75"/>
              <w:bottom w:type="dxa" w:w="0"/>
              <w:right w:type="dxa" w:w="75"/>
            </w:tcMar>
          </w:tcPr>
          <w:p w14:paraId="B600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Основное мероприятие 1.14. </w:t>
            </w:r>
            <w:r>
              <w:rPr>
                <w:rFonts w:ascii="Times New Roman" w:hAnsi="Times New Roman"/>
                <w:color w:val="000000"/>
                <w:sz w:val="20"/>
              </w:rPr>
              <w:t>Расходы за счет средств субсидий из резервного фонда Правительства Ростовской области и средств местного бюджета, в целях софинансирования которых предоставляются субсидии в рамках подпрограммы «</w:t>
            </w:r>
            <w:r>
              <w:rPr>
                <w:rFonts w:ascii="Times New Roman" w:hAnsi="Times New Roman"/>
                <w:color w:val="000000"/>
                <w:sz w:val="20"/>
              </w:rPr>
              <w:t>Создание условий для обеспечения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бесперебойности и роста качества жилищно-коммунальных услуг на территории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Обливского района</w:t>
            </w:r>
            <w:r>
              <w:rPr>
                <w:rFonts w:ascii="Times New Roman" w:hAnsi="Times New Roman"/>
                <w:color w:val="000000"/>
                <w:sz w:val="20"/>
              </w:rPr>
              <w:t>» муниципальной программы Обливского района «Обеспечение качественными жилищно-коммунальными услугами населения Обливского района»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B7000000">
            <w:pPr>
              <w:pStyle w:val="Style_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B8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B9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BA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BB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BC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BD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BE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</w:tr>
      <w:tr>
        <w:trPr>
          <w:trHeight w:hRule="atLeast" w:val="250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BF00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2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75"/>
              <w:bottom w:type="dxa" w:w="0"/>
              <w:right w:type="dxa" w:w="75"/>
            </w:tcMar>
          </w:tcPr>
          <w:p w14:paraId="C0000000">
            <w:pPr>
              <w:spacing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1.15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асходы на реализацию мероприятий по обустройству зон санитарной охраны источников питьевого и хозяйственно-бытового водоснабжения в рамках подпрограммы </w:t>
            </w:r>
            <w:r>
              <w:rPr>
                <w:rFonts w:ascii="Times New Roman" w:hAnsi="Times New Roman"/>
                <w:color w:val="000000"/>
                <w:sz w:val="20"/>
              </w:rPr>
              <w:t>«</w:t>
            </w:r>
            <w:r>
              <w:rPr>
                <w:rFonts w:ascii="Times New Roman" w:hAnsi="Times New Roman"/>
                <w:color w:val="000000"/>
                <w:sz w:val="20"/>
              </w:rPr>
              <w:t>Создание условий для обеспечения бесперебойности и роста качества жилищно-коммунальных услуг на территории Обливского района»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C1000000">
            <w:pPr>
              <w:pStyle w:val="Style_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C2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C3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C4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C5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16"/>
                <w:sz w:val="20"/>
              </w:rPr>
              <w:t>257,4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C6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257,4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C7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C8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257,4                </w:t>
            </w:r>
            <w:r>
              <w:rPr>
                <w:rFonts w:ascii="Times New Roman" w:hAnsi="Times New Roman"/>
                <w:sz w:val="20"/>
              </w:rPr>
              <w:t>(не подошел срок оплаты)</w:t>
            </w:r>
          </w:p>
          <w:p w14:paraId="C9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  <w:p w14:paraId="CA000000">
            <w:pPr>
              <w:rPr>
                <w:sz w:val="20"/>
              </w:rPr>
            </w:pPr>
          </w:p>
        </w:tc>
      </w:tr>
      <w:tr>
        <w:trPr>
          <w:trHeight w:hRule="atLeast" w:val="263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CB00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2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75"/>
              <w:bottom w:type="dxa" w:w="0"/>
              <w:right w:type="dxa" w:w="75"/>
            </w:tcMar>
          </w:tcPr>
          <w:p w14:paraId="CC000000">
            <w:pPr>
              <w:spacing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1.16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0"/>
              </w:rPr>
              <w:t>Расходы на текущий ремонт и содержание водопроводных сетей в станице Обливской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CD000000">
            <w:pPr>
              <w:pStyle w:val="Style_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CE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CF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D0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D1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D2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D3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D4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</w:tr>
      <w:tr>
        <w:trPr>
          <w:trHeight w:hRule="atLeast" w:val="263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D500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2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75"/>
              <w:bottom w:type="dxa" w:w="0"/>
              <w:right w:type="dxa" w:w="75"/>
            </w:tcMar>
          </w:tcPr>
          <w:p w14:paraId="D6000000">
            <w:pPr>
              <w:spacing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Основное мероприятие 1.17. </w:t>
            </w:r>
            <w:r>
              <w:rPr>
                <w:rFonts w:ascii="Times New Roman" w:hAnsi="Times New Roman"/>
                <w:color w:val="000000"/>
                <w:sz w:val="20"/>
              </w:rPr>
              <w:t>Расходы на капитальный ремонт крыши многоквартирного дома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D7000000">
            <w:pPr>
              <w:pStyle w:val="Style_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D8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D9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DA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DB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DC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DD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DE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</w:tr>
      <w:tr>
        <w:trPr>
          <w:trHeight w:hRule="atLeast" w:val="263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DF00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2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75"/>
              <w:bottom w:type="dxa" w:w="0"/>
              <w:right w:type="dxa" w:w="75"/>
            </w:tcMar>
          </w:tcPr>
          <w:p w14:paraId="E0000000">
            <w:pPr>
              <w:spacing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1.18. Реализация программ формирования современной городской среды (Расходы на реализацию мероприятий по формированию современной городской среды в части благоустройства общественных территорий)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</w:t>
            </w:r>
            <w:r>
              <w:rPr>
                <w:rFonts w:ascii="Times New Roman" w:hAnsi="Times New Roman"/>
                <w:color w:val="000000"/>
                <w:sz w:val="20"/>
              </w:rPr>
              <w:t>»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E1000000">
            <w:pPr>
              <w:pStyle w:val="Style_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E2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E3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E4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E5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E6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E7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E8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</w:tr>
      <w:tr>
        <w:trPr>
          <w:trHeight w:hRule="atLeast" w:val="263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E900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2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75"/>
              <w:bottom w:type="dxa" w:w="0"/>
              <w:right w:type="dxa" w:w="75"/>
            </w:tcMar>
          </w:tcPr>
          <w:p w14:paraId="EA000000">
            <w:pPr>
              <w:widowControl w:val="0"/>
              <w:spacing w:line="240" w:lineRule="auto"/>
              <w:ind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Основное мероприятие 1.19.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Расходы на капитальный ремонт объекта: «Буровая на воду скважина № 3970, кадастровый номер 61:27:0030301:216, глубина 110 м, расположенной по адресу: 5 м на юго-запад от п. Шаповаловка Обливского района Ростовской области» 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EB000000">
            <w:pPr>
              <w:pStyle w:val="Style_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EC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ED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EE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EF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F0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F1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F2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</w:tr>
      <w:tr>
        <w:trPr>
          <w:trHeight w:hRule="atLeast" w:val="263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F300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2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75"/>
              <w:bottom w:type="dxa" w:w="0"/>
              <w:right w:type="dxa" w:w="75"/>
            </w:tcMar>
          </w:tcPr>
          <w:p w14:paraId="F4000000">
            <w:pPr>
              <w:widowControl w:val="0"/>
              <w:spacing w:line="240" w:lineRule="auto"/>
              <w:ind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Основное мероприятие 1.20. </w:t>
            </w:r>
            <w:r>
              <w:rPr>
                <w:rFonts w:ascii="Times New Roman" w:hAnsi="Times New Roman"/>
                <w:color w:val="000000"/>
                <w:sz w:val="20"/>
              </w:rPr>
              <w:t>Расходы на разработку сметной и рабочей документации на капитальный ремонт котельных, расположенных в станице Обливской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F5000000">
            <w:pPr>
              <w:pStyle w:val="Style_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F6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F7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F8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F9000000">
            <w:pPr>
              <w:ind w:firstLine="0" w:left="113" w:right="113"/>
              <w:jc w:val="center"/>
              <w:rPr>
                <w:rFonts w:ascii="Times New Roman" w:hAnsi="Times New Roman"/>
                <w:color w:val="000000"/>
                <w:spacing w:val="-16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16"/>
                <w:sz w:val="20"/>
              </w:rPr>
              <w:t>0,0</w:t>
            </w:r>
          </w:p>
          <w:p w14:paraId="FA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FB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FC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FD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  <w:p w14:paraId="FE00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>
        <w:trPr>
          <w:trHeight w:hRule="atLeast" w:val="263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FF00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2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75"/>
              <w:bottom w:type="dxa" w:w="0"/>
              <w:right w:type="dxa" w:w="75"/>
            </w:tcMar>
          </w:tcPr>
          <w:p w14:paraId="0001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Основное мероприятие 1.21. </w:t>
            </w:r>
            <w:r>
              <w:rPr>
                <w:rFonts w:ascii="Times New Roman" w:hAnsi="Times New Roman"/>
                <w:color w:val="000000"/>
                <w:sz w:val="20"/>
              </w:rPr>
              <w:t>Расходы на разработку сметной документации «Капитальный ремонт кровли многоквартирных домов»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01010000">
            <w:pPr>
              <w:pStyle w:val="Style_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02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03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04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05010000">
            <w:pPr>
              <w:ind w:firstLine="0" w:left="113" w:right="113"/>
              <w:jc w:val="center"/>
              <w:rPr>
                <w:rFonts w:ascii="Times New Roman" w:hAnsi="Times New Roman"/>
                <w:color w:val="000000"/>
                <w:spacing w:val="-16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16"/>
                <w:sz w:val="20"/>
              </w:rPr>
              <w:t>0,0</w:t>
            </w:r>
          </w:p>
          <w:p w14:paraId="06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07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08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09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</w:tr>
      <w:tr>
        <w:trPr>
          <w:trHeight w:hRule="atLeast" w:val="263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0A01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2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75"/>
              <w:bottom w:type="dxa" w:w="0"/>
              <w:right w:type="dxa" w:w="75"/>
            </w:tcMar>
          </w:tcPr>
          <w:p w14:paraId="0B010000">
            <w:pPr>
              <w:spacing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Основное мероприятие 1.22. </w:t>
            </w:r>
            <w:r>
              <w:rPr>
                <w:rFonts w:ascii="Times New Roman" w:hAnsi="Times New Roman"/>
                <w:color w:val="000000"/>
                <w:sz w:val="20"/>
              </w:rPr>
              <w:t>Расходы на оплату услуг и (или) работ по проведению поисково - оценочных работ на пресные подземные воды для хозяйственно – бытового водоснабжения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0C010000">
            <w:pPr>
              <w:pStyle w:val="Style_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0D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0E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0F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10010000">
            <w:pPr>
              <w:ind w:firstLine="0" w:left="113" w:right="113"/>
              <w:jc w:val="center"/>
              <w:rPr>
                <w:rFonts w:ascii="Times New Roman" w:hAnsi="Times New Roman"/>
                <w:color w:val="000000"/>
                <w:spacing w:val="-16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16"/>
                <w:sz w:val="20"/>
              </w:rPr>
              <w:t>0,0</w:t>
            </w:r>
          </w:p>
          <w:p w14:paraId="11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12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13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14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</w:tr>
      <w:tr>
        <w:trPr>
          <w:trHeight w:hRule="atLeast" w:val="263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1501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2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75"/>
              <w:bottom w:type="dxa" w:w="0"/>
              <w:right w:type="dxa" w:w="75"/>
            </w:tcMar>
          </w:tcPr>
          <w:p w14:paraId="16010000">
            <w:pPr>
              <w:spacing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Основное мероприятие 1.23. 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Иные </w:t>
            </w:r>
            <w:r>
              <w:rPr>
                <w:rFonts w:ascii="Times New Roman" w:hAnsi="Times New Roman"/>
                <w:sz w:val="20"/>
              </w:rPr>
              <w:t>межбюджетные трансферты на приобретение оборудования для оснащения муниципальных котельных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17010000">
            <w:pPr>
              <w:pStyle w:val="Style_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18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19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1A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1B010000">
            <w:pPr>
              <w:ind w:firstLine="0" w:left="113" w:right="113"/>
              <w:jc w:val="center"/>
              <w:rPr>
                <w:rFonts w:ascii="Times New Roman" w:hAnsi="Times New Roman"/>
                <w:color w:val="000000"/>
                <w:spacing w:val="-16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16"/>
                <w:sz w:val="20"/>
              </w:rPr>
              <w:t>0,0</w:t>
            </w:r>
          </w:p>
          <w:p w14:paraId="1C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1D010000">
            <w:pPr>
              <w:ind w:firstLine="0" w:left="113" w:right="113"/>
              <w:jc w:val="center"/>
              <w:rPr>
                <w:rFonts w:ascii="Times New Roman" w:hAnsi="Times New Roman"/>
                <w:color w:val="000000"/>
                <w:spacing w:val="-16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16"/>
                <w:sz w:val="20"/>
              </w:rPr>
              <w:t>0,0</w:t>
            </w:r>
          </w:p>
          <w:p w14:paraId="1E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1F010000">
            <w:pPr>
              <w:ind w:firstLine="0" w:left="113" w:right="113"/>
              <w:jc w:val="center"/>
              <w:rPr>
                <w:rFonts w:ascii="Times New Roman" w:hAnsi="Times New Roman"/>
                <w:color w:val="000000"/>
                <w:spacing w:val="-16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16"/>
                <w:sz w:val="20"/>
              </w:rPr>
              <w:t>0,0</w:t>
            </w:r>
          </w:p>
          <w:p w14:paraId="20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21010000">
            <w:pPr>
              <w:ind w:firstLine="0" w:left="113" w:right="113"/>
              <w:jc w:val="center"/>
              <w:rPr>
                <w:rFonts w:ascii="Times New Roman" w:hAnsi="Times New Roman"/>
                <w:color w:val="000000"/>
                <w:spacing w:val="-16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16"/>
                <w:sz w:val="20"/>
              </w:rPr>
              <w:t>0,0</w:t>
            </w:r>
          </w:p>
        </w:tc>
      </w:tr>
      <w:tr>
        <w:trPr>
          <w:trHeight w:hRule="atLeast" w:val="263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2201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2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75"/>
              <w:bottom w:type="dxa" w:w="0"/>
              <w:right w:type="dxa" w:w="75"/>
            </w:tcMar>
          </w:tcPr>
          <w:p w14:paraId="23010000">
            <w:pPr>
              <w:spacing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Основное мероприятие 1.24.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Расходы на разработку ПСД на строительство, реконструкцию и кап. ремонт объектов ВКХ 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24010000">
            <w:pPr>
              <w:pStyle w:val="Style_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25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26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27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28010000">
            <w:pPr>
              <w:ind w:firstLine="0" w:left="113" w:right="113"/>
              <w:jc w:val="center"/>
              <w:rPr>
                <w:rFonts w:ascii="Times New Roman" w:hAnsi="Times New Roman"/>
                <w:color w:val="000000"/>
                <w:spacing w:val="-16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16"/>
                <w:sz w:val="20"/>
              </w:rPr>
              <w:t>821,9</w:t>
            </w:r>
          </w:p>
          <w:p w14:paraId="29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2A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821,9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2B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2C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821,9</w:t>
            </w:r>
          </w:p>
          <w:p w14:paraId="2D010000">
            <w:pPr>
              <w:ind/>
              <w:jc w:val="center"/>
              <w:rPr/>
            </w:pPr>
            <w:r>
              <w:rPr>
                <w:rFonts w:ascii="Times New Roman" w:hAnsi="Times New Roman"/>
                <w:sz w:val="20"/>
              </w:rPr>
              <w:t>(</w:t>
            </w:r>
            <w:r>
              <w:rPr>
                <w:rFonts w:ascii="Times New Roman" w:hAnsi="Times New Roman"/>
                <w:sz w:val="20"/>
              </w:rPr>
              <w:t>оплата согласно графика)</w:t>
            </w:r>
          </w:p>
        </w:tc>
      </w:tr>
      <w:tr>
        <w:trPr>
          <w:trHeight w:hRule="atLeast" w:val="263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2E01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2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75"/>
              <w:bottom w:type="dxa" w:w="0"/>
              <w:right w:type="dxa" w:w="75"/>
            </w:tcMar>
          </w:tcPr>
          <w:p w14:paraId="2F010000">
            <w:pPr>
              <w:spacing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Основное мероприятие 1.25. </w:t>
            </w:r>
            <w:r>
              <w:rPr>
                <w:rFonts w:ascii="Times New Roman" w:hAnsi="Times New Roman"/>
                <w:color w:val="000000"/>
                <w:sz w:val="20"/>
              </w:rPr>
              <w:t>Расходы на оплату услуг и (или) работ по строительству, реконструкции и капитальному ремонту водопроводных сетей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0010000">
            <w:pPr>
              <w:pStyle w:val="Style_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31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32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33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4010000">
            <w:pPr>
              <w:ind w:firstLine="0" w:left="113" w:right="113"/>
              <w:jc w:val="center"/>
              <w:rPr>
                <w:rFonts w:ascii="Times New Roman" w:hAnsi="Times New Roman"/>
                <w:color w:val="000000"/>
                <w:spacing w:val="-16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16"/>
                <w:sz w:val="20"/>
              </w:rPr>
              <w:t>1 032,7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5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1 032,7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6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717,7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7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315,0</w:t>
            </w:r>
          </w:p>
          <w:p w14:paraId="38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(не подошел срок оплаты)</w:t>
            </w:r>
          </w:p>
        </w:tc>
      </w:tr>
      <w:tr>
        <w:trPr>
          <w:trHeight w:hRule="atLeast" w:val="360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3901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2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3A010000">
            <w:pPr>
              <w:pStyle w:val="Style_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Контрольное событие  муниципальной программы 1.1.1 </w:t>
            </w:r>
            <w:r>
              <w:rPr>
                <w:rFonts w:ascii="Times New Roman" w:hAnsi="Times New Roman"/>
                <w:sz w:val="20"/>
              </w:rPr>
              <w:t>&lt;3&gt;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3B01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3C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3D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3E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3F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0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1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2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</w:tr>
      <w:tr>
        <w:trPr>
          <w:trHeight w:hRule="atLeast" w:val="360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301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2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4010000">
            <w:pPr>
              <w:pStyle w:val="Style_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Контрольное событие  муниципальной программы 1.1.2 </w:t>
            </w:r>
            <w:r>
              <w:rPr>
                <w:rFonts w:ascii="Times New Roman" w:hAnsi="Times New Roman"/>
                <w:sz w:val="20"/>
              </w:rPr>
              <w:t>&lt;3&gt;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501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6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7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8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9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A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B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C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</w:tr>
      <w:t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D010000">
            <w:pPr>
              <w:pStyle w:val="Style_3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E010000">
            <w:pPr>
              <w:pStyle w:val="Style_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4F01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50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51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52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53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54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55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56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5701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2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58010000">
            <w:pPr>
              <w:pStyle w:val="Style_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Мероприятие 1.1</w:t>
            </w:r>
          </w:p>
          <w:p w14:paraId="59010000">
            <w:pPr>
              <w:pStyle w:val="Style_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ВЦП 1 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5A01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5B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5C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5D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5E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5F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60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61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6201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2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63010000">
            <w:pPr>
              <w:pStyle w:val="Style_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Основное</w:t>
            </w:r>
          </w:p>
          <w:p w14:paraId="64010000">
            <w:pPr>
              <w:pStyle w:val="Style_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мероприятие 1.2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6501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66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67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68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69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6A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6B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6C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6D01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2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6E010000">
            <w:pPr>
              <w:pStyle w:val="Style_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Мероприятие 1.2.1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6F01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70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71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72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73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74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75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76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7701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2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78010000">
            <w:pPr>
              <w:pStyle w:val="Style_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Мероприятие 1.2.2  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7901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7A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7B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7C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7D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7E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7F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80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8101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2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82010000">
            <w:pPr>
              <w:pStyle w:val="Style_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Контрольное событие  муниципальной программы 1.2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8301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84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85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86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87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88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89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8A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</w:tr>
      <w:tr>
        <w:trPr>
          <w:trHeight w:hRule="atLeast" w:val="200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8B01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2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8C010000">
            <w:pPr>
              <w:pStyle w:val="Style_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Подпрограмма 2 </w:t>
            </w:r>
            <w:r>
              <w:rPr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«Развитие жилищного хозяйства в </w:t>
            </w:r>
            <w:r>
              <w:rPr>
                <w:rFonts w:ascii="Times New Roman" w:hAnsi="Times New Roman"/>
                <w:sz w:val="20"/>
              </w:rPr>
              <w:t xml:space="preserve">Обливском </w:t>
            </w:r>
            <w:r>
              <w:rPr>
                <w:rFonts w:ascii="Times New Roman" w:hAnsi="Times New Roman"/>
                <w:sz w:val="20"/>
              </w:rPr>
              <w:t>район</w:t>
            </w:r>
            <w:r>
              <w:rPr>
                <w:rFonts w:ascii="Times New Roman" w:hAnsi="Times New Roman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8D010000">
            <w:pPr>
              <w:pStyle w:val="Style_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ведущий специалист ОМХ и Г /Сеньшин Дмитрий Викторович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8E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type="dxa" w:w="1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8F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90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91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30 497,70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92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30 497,70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93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5 444,72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94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25 052,98</w:t>
            </w:r>
          </w:p>
        </w:tc>
      </w:tr>
      <w:t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9501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2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96010000">
            <w:pPr>
              <w:pStyle w:val="Style_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Основное</w:t>
            </w:r>
          </w:p>
          <w:p w14:paraId="97010000">
            <w:pPr>
              <w:pStyle w:val="Style_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мероприятие 2.1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9801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99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9A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9B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9C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9D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9E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9F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251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A001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2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A1010000">
            <w:pPr>
              <w:pStyle w:val="Style_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Мероприятие 2.1.1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A201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A3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A4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A5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A6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A7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A8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A9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AA01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2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AB010000">
            <w:pPr>
              <w:pStyle w:val="Style_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Мероприятие 2.1.2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AC01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AD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AE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AF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B0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B1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B2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B3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B4010000">
            <w:pPr>
              <w:pStyle w:val="Style_3"/>
              <w:rPr>
                <w:rFonts w:ascii="Times New Roman" w:hAnsi="Times New Roman"/>
                <w:strike w:val="1"/>
                <w:sz w:val="24"/>
              </w:rPr>
            </w:pPr>
          </w:p>
        </w:tc>
        <w:tc>
          <w:tcPr>
            <w:tcW w:type="dxa" w:w="2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B5010000">
            <w:pPr>
              <w:pStyle w:val="Style_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Контрольное событие  муниципальной программы 2.1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B601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B7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B8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B9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BA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BB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BC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BD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</w:tr>
      <w:tr>
        <w:trPr>
          <w:trHeight w:hRule="atLeast" w:val="445"/>
        </w:trPr>
        <w:tc>
          <w:tcPr>
            <w:tcW w:type="dxa" w:w="42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BE010000">
            <w:pPr>
              <w:pStyle w:val="Style_3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9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BF010000">
            <w:pPr>
              <w:pStyle w:val="Style_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Итого по муниципальной 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программе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C0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C1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type="dxa" w:w="1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C2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C3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C4010000">
            <w:pPr>
              <w:rPr>
                <w:sz w:val="20"/>
              </w:rPr>
            </w:pP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C5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C601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C7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/>
        </w:tc>
        <w:tc>
          <w:tcPr>
            <w:tcW w:type="dxa" w:w="289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/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C8010000">
            <w:pPr>
              <w:pStyle w:val="Style_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ответственный исполнитель муниципальной програ</w:t>
            </w:r>
            <w:r>
              <w:rPr>
                <w:rFonts w:ascii="Times New Roman" w:hAnsi="Times New Roman"/>
                <w:sz w:val="20"/>
              </w:rPr>
              <w:t>м</w:t>
            </w:r>
            <w:r>
              <w:rPr>
                <w:rFonts w:ascii="Times New Roman" w:hAnsi="Times New Roman"/>
                <w:sz w:val="20"/>
              </w:rPr>
              <w:t>мы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C9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type="dxa" w:w="1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CA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CB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CC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CD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CE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CF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/>
        </w:tc>
        <w:tc>
          <w:tcPr>
            <w:tcW w:type="dxa" w:w="289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/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D0010000">
            <w:pPr>
              <w:pStyle w:val="Style_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соисполнитель 1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D1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type="dxa" w:w="1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D2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D3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D401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D501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D601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D701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/>
        </w:tc>
        <w:tc>
          <w:tcPr>
            <w:tcW w:type="dxa" w:w="289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/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D8010000">
            <w:pPr>
              <w:pStyle w:val="Style_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соисполнитель 2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D9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type="dxa" w:w="1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DA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DB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DC01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DD01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DE01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DF01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/>
        </w:tc>
        <w:tc>
          <w:tcPr>
            <w:tcW w:type="dxa" w:w="289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/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E0010000">
            <w:pPr>
              <w:pStyle w:val="Style_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E1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type="dxa" w:w="1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E2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E3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E401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E501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E601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E701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/>
        </w:tc>
        <w:tc>
          <w:tcPr>
            <w:tcW w:type="dxa" w:w="289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/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E8010000">
            <w:pPr>
              <w:pStyle w:val="Style_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участник 1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E9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type="dxa" w:w="1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EA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EB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EC01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ED01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EE01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EF01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/>
        </w:tc>
        <w:tc>
          <w:tcPr>
            <w:tcW w:type="dxa" w:w="289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/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F0010000">
            <w:pPr>
              <w:pStyle w:val="Style_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участник 2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F1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type="dxa" w:w="1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F2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F3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F401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F501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F601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F701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/>
        </w:tc>
        <w:tc>
          <w:tcPr>
            <w:tcW w:type="dxa" w:w="289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/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F8010000">
            <w:pPr>
              <w:pStyle w:val="Style_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</w:t>
            </w:r>
          </w:p>
        </w:tc>
        <w:tc>
          <w:tcPr>
            <w:tcW w:type="dxa" w:w="12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F9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type="dxa" w:w="10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FA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FB010000">
            <w:pPr>
              <w:pStyle w:val="Style_3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FC01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7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FD01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FE01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FF010000">
            <w:pPr>
              <w:pStyle w:val="Style_3"/>
              <w:rPr>
                <w:rFonts w:ascii="Times New Roman" w:hAnsi="Times New Roman"/>
                <w:sz w:val="20"/>
              </w:rPr>
            </w:pPr>
          </w:p>
        </w:tc>
      </w:tr>
    </w:tbl>
    <w:p w14:paraId="00020000">
      <w:pPr>
        <w:pStyle w:val="Style_1"/>
        <w:ind/>
        <w:jc w:val="center"/>
        <w:rPr>
          <w:rFonts w:ascii="Times New Roman" w:hAnsi="Times New Roman"/>
          <w:sz w:val="24"/>
        </w:rPr>
      </w:pPr>
    </w:p>
    <w:p w14:paraId="01020000">
      <w:pPr>
        <w:pStyle w:val="Style_1"/>
        <w:ind/>
        <w:jc w:val="center"/>
        <w:rPr>
          <w:rFonts w:ascii="Times New Roman" w:hAnsi="Times New Roman"/>
          <w:sz w:val="24"/>
        </w:rPr>
      </w:pPr>
    </w:p>
    <w:p w14:paraId="02020000">
      <w:pPr>
        <w:pStyle w:val="Style_1"/>
        <w:ind/>
        <w:jc w:val="center"/>
        <w:rPr>
          <w:rFonts w:ascii="Times New Roman" w:hAnsi="Times New Roman"/>
          <w:sz w:val="24"/>
        </w:rPr>
      </w:pPr>
    </w:p>
    <w:p w14:paraId="03020000">
      <w:pPr>
        <w:widowControl w:val="0"/>
        <w:spacing w:after="0" w:line="240" w:lineRule="auto"/>
        <w:ind w:firstLine="284" w:left="0" w:right="-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И.о. заведующего финансовым отделом </w:t>
      </w:r>
    </w:p>
    <w:p w14:paraId="04020000">
      <w:pPr>
        <w:widowControl w:val="0"/>
        <w:spacing w:after="0" w:line="240" w:lineRule="auto"/>
        <w:ind w:firstLine="284" w:left="0" w:right="-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Администрации </w:t>
      </w:r>
      <w:r>
        <w:rPr>
          <w:rFonts w:ascii="Times New Roman" w:hAnsi="Times New Roman"/>
          <w:sz w:val="24"/>
        </w:rPr>
        <w:t>Обливского</w:t>
      </w:r>
      <w:r>
        <w:rPr>
          <w:rFonts w:ascii="Times New Roman" w:hAnsi="Times New Roman"/>
          <w:sz w:val="24"/>
        </w:rPr>
        <w:t xml:space="preserve"> района                                                                 С.В. </w:t>
      </w:r>
      <w:r>
        <w:rPr>
          <w:rFonts w:ascii="Times New Roman" w:hAnsi="Times New Roman"/>
          <w:sz w:val="24"/>
        </w:rPr>
        <w:t>Гульцева</w:t>
      </w:r>
    </w:p>
    <w:p w14:paraId="05020000">
      <w:pPr>
        <w:widowControl w:val="0"/>
        <w:spacing w:after="0" w:line="240" w:lineRule="auto"/>
        <w:ind w:firstLine="284" w:left="0" w:right="-284"/>
        <w:jc w:val="both"/>
        <w:rPr>
          <w:rFonts w:ascii="Times New Roman" w:hAnsi="Times New Roman"/>
          <w:sz w:val="24"/>
        </w:rPr>
      </w:pPr>
    </w:p>
    <w:p w14:paraId="06020000">
      <w:pPr>
        <w:widowControl w:val="0"/>
        <w:spacing w:after="0" w:line="240" w:lineRule="auto"/>
        <w:ind w:firstLine="284" w:left="0" w:right="-284"/>
        <w:jc w:val="both"/>
        <w:rPr>
          <w:rFonts w:ascii="Times New Roman" w:hAnsi="Times New Roman"/>
          <w:sz w:val="24"/>
        </w:rPr>
      </w:pPr>
    </w:p>
    <w:p w14:paraId="07020000">
      <w:pPr>
        <w:widowControl w:val="0"/>
        <w:spacing w:after="0" w:line="240" w:lineRule="auto"/>
        <w:ind w:firstLine="284" w:left="0" w:right="-284"/>
        <w:jc w:val="both"/>
        <w:rPr>
          <w:rFonts w:ascii="Times New Roman" w:hAnsi="Times New Roman"/>
          <w:sz w:val="24"/>
        </w:rPr>
      </w:pPr>
    </w:p>
    <w:p w14:paraId="08020000">
      <w:pPr>
        <w:widowControl w:val="0"/>
        <w:spacing w:after="0" w:line="240" w:lineRule="auto"/>
        <w:ind w:firstLine="284" w:left="0" w:right="-284"/>
        <w:jc w:val="both"/>
        <w:rPr>
          <w:rFonts w:ascii="Times New Roman" w:hAnsi="Times New Roman"/>
          <w:sz w:val="24"/>
        </w:rPr>
      </w:pPr>
    </w:p>
    <w:p w14:paraId="09020000">
      <w:pPr>
        <w:widowControl w:val="0"/>
        <w:spacing w:after="0" w:line="240" w:lineRule="auto"/>
        <w:ind w:firstLine="284" w:left="0" w:right="-284"/>
        <w:jc w:val="both"/>
        <w:rPr>
          <w:rFonts w:ascii="Times New Roman" w:hAnsi="Times New Roman"/>
          <w:sz w:val="24"/>
        </w:rPr>
      </w:pPr>
    </w:p>
    <w:p w14:paraId="0A020000">
      <w:pPr>
        <w:widowControl w:val="0"/>
        <w:spacing w:after="0" w:line="240" w:lineRule="auto"/>
        <w:ind w:firstLine="284" w:left="0" w:right="-284"/>
        <w:jc w:val="both"/>
        <w:rPr>
          <w:rFonts w:ascii="Times New Roman" w:hAnsi="Times New Roman"/>
          <w:sz w:val="24"/>
        </w:rPr>
      </w:pPr>
    </w:p>
    <w:p w14:paraId="0B020000">
      <w:pPr>
        <w:widowControl w:val="0"/>
        <w:spacing w:after="0" w:line="240" w:lineRule="auto"/>
        <w:ind w:firstLine="284" w:left="0" w:right="-284"/>
        <w:jc w:val="both"/>
        <w:rPr>
          <w:rFonts w:ascii="Times New Roman" w:hAnsi="Times New Roman"/>
          <w:sz w:val="24"/>
        </w:rPr>
      </w:pPr>
    </w:p>
    <w:p w14:paraId="0C020000">
      <w:pPr>
        <w:widowControl w:val="0"/>
        <w:spacing w:after="0" w:line="240" w:lineRule="auto"/>
        <w:ind w:firstLine="284" w:left="0" w:right="-284"/>
        <w:jc w:val="both"/>
        <w:rPr>
          <w:rFonts w:ascii="Times New Roman" w:hAnsi="Times New Roman"/>
          <w:sz w:val="24"/>
        </w:rPr>
      </w:pPr>
    </w:p>
    <w:p w14:paraId="0D020000">
      <w:pPr>
        <w:widowControl w:val="0"/>
        <w:spacing w:after="0" w:line="240" w:lineRule="auto"/>
        <w:ind w:firstLine="284" w:left="0" w:right="-284"/>
        <w:jc w:val="both"/>
        <w:rPr>
          <w:rFonts w:ascii="Times New Roman" w:hAnsi="Times New Roman"/>
          <w:sz w:val="24"/>
        </w:rPr>
      </w:pPr>
    </w:p>
    <w:p w14:paraId="0E020000">
      <w:pPr>
        <w:widowControl w:val="0"/>
        <w:spacing w:after="0" w:line="240" w:lineRule="auto"/>
        <w:ind w:firstLine="284" w:left="0" w:right="-284"/>
        <w:jc w:val="both"/>
        <w:rPr>
          <w:rFonts w:ascii="Times New Roman" w:hAnsi="Times New Roman"/>
          <w:sz w:val="24"/>
        </w:rPr>
      </w:pPr>
    </w:p>
    <w:p w14:paraId="0F020000">
      <w:pPr>
        <w:widowControl w:val="0"/>
        <w:spacing w:after="0" w:line="240" w:lineRule="auto"/>
        <w:ind w:firstLine="284" w:left="0" w:right="-284"/>
        <w:jc w:val="both"/>
        <w:rPr>
          <w:rFonts w:ascii="Times New Roman" w:hAnsi="Times New Roman"/>
          <w:sz w:val="24"/>
        </w:rPr>
      </w:pPr>
    </w:p>
    <w:p w14:paraId="10020000">
      <w:pPr>
        <w:widowControl w:val="0"/>
        <w:spacing w:after="0" w:line="240" w:lineRule="auto"/>
        <w:ind w:firstLine="284" w:left="0" w:right="-284"/>
        <w:jc w:val="both"/>
        <w:rPr>
          <w:rFonts w:ascii="Times New Roman" w:hAnsi="Times New Roman"/>
          <w:sz w:val="24"/>
        </w:rPr>
      </w:pPr>
    </w:p>
    <w:p w14:paraId="11020000">
      <w:pPr>
        <w:widowControl w:val="0"/>
        <w:spacing w:after="0" w:line="240" w:lineRule="auto"/>
        <w:ind w:firstLine="284" w:left="0" w:right="-284"/>
        <w:jc w:val="both"/>
        <w:rPr>
          <w:rFonts w:ascii="Times New Roman" w:hAnsi="Times New Roman"/>
          <w:sz w:val="24"/>
        </w:rPr>
      </w:pPr>
    </w:p>
    <w:p w14:paraId="12020000">
      <w:pPr>
        <w:widowControl w:val="0"/>
        <w:spacing w:after="0" w:line="240" w:lineRule="auto"/>
        <w:ind w:firstLine="284" w:left="0" w:right="-284"/>
        <w:jc w:val="both"/>
        <w:rPr>
          <w:rFonts w:ascii="Times New Roman" w:hAnsi="Times New Roman"/>
          <w:sz w:val="24"/>
        </w:rPr>
      </w:pPr>
    </w:p>
    <w:p w14:paraId="13020000">
      <w:pPr>
        <w:widowControl w:val="0"/>
        <w:spacing w:after="0" w:line="240" w:lineRule="auto"/>
        <w:ind w:firstLine="284" w:left="0" w:right="-284"/>
        <w:jc w:val="both"/>
        <w:rPr>
          <w:rFonts w:ascii="Times New Roman" w:hAnsi="Times New Roman"/>
          <w:sz w:val="24"/>
        </w:rPr>
      </w:pPr>
    </w:p>
    <w:p w14:paraId="14020000">
      <w:pPr>
        <w:widowControl w:val="0"/>
        <w:spacing w:after="0" w:line="240" w:lineRule="auto"/>
        <w:ind w:firstLine="284" w:left="0" w:right="-284"/>
        <w:jc w:val="both"/>
        <w:rPr>
          <w:rFonts w:ascii="Times New Roman" w:hAnsi="Times New Roman"/>
          <w:sz w:val="24"/>
        </w:rPr>
      </w:pPr>
    </w:p>
    <w:p w14:paraId="15020000">
      <w:pPr>
        <w:widowControl w:val="0"/>
        <w:spacing w:after="0" w:line="240" w:lineRule="auto"/>
        <w:ind w:firstLine="284" w:left="0" w:right="-284"/>
        <w:jc w:val="both"/>
        <w:rPr>
          <w:rFonts w:ascii="Times New Roman" w:hAnsi="Times New Roman"/>
          <w:sz w:val="24"/>
        </w:rPr>
      </w:pPr>
    </w:p>
    <w:p w14:paraId="16020000">
      <w:pPr>
        <w:widowControl w:val="0"/>
        <w:spacing w:after="0" w:line="240" w:lineRule="auto"/>
        <w:ind w:firstLine="284" w:left="0" w:right="-284"/>
        <w:jc w:val="both"/>
        <w:rPr>
          <w:rFonts w:ascii="Times New Roman" w:hAnsi="Times New Roman"/>
          <w:sz w:val="24"/>
        </w:rPr>
      </w:pPr>
    </w:p>
    <w:p w14:paraId="17020000">
      <w:pPr>
        <w:widowControl w:val="0"/>
        <w:spacing w:after="0" w:line="240" w:lineRule="auto"/>
        <w:ind w:firstLine="284" w:left="0" w:right="-284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Сеньшин Дмитрий Викторович</w:t>
      </w:r>
    </w:p>
    <w:p w14:paraId="18020000">
      <w:pPr>
        <w:widowControl w:val="0"/>
        <w:spacing w:after="0" w:line="240" w:lineRule="auto"/>
        <w:ind w:firstLine="284" w:left="0" w:right="-284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8(86396)21242</w:t>
      </w:r>
    </w:p>
    <w:p w14:paraId="19020000">
      <w:pPr>
        <w:widowControl w:val="0"/>
        <w:spacing w:after="0" w:line="240" w:lineRule="auto"/>
        <w:ind w:firstLine="284" w:left="0" w:right="-284"/>
        <w:jc w:val="both"/>
        <w:rPr>
          <w:rFonts w:ascii="Times New Roman" w:hAnsi="Times New Roman"/>
          <w:sz w:val="24"/>
        </w:rPr>
      </w:pPr>
    </w:p>
    <w:sectPr>
      <w:pgSz w:h="11906" w:orient="landscape" w:w="16838"/>
      <w:pgMar w:bottom="851" w:footer="709" w:gutter="0" w:header="709" w:left="992" w:right="397" w:top="70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spacing w:after="200" w:line="276" w:lineRule="auto"/>
      <w:ind/>
    </w:pPr>
    <w:rPr>
      <w:rFonts w:ascii="Calibri" w:hAnsi="Calibri"/>
    </w:rPr>
  </w:style>
  <w:style w:default="1" w:styleId="Style_4_ch" w:type="character">
    <w:name w:val="Normal"/>
    <w:link w:val="Style_4"/>
    <w:rPr>
      <w:rFonts w:ascii="Calibri" w:hAnsi="Calibri"/>
    </w:rPr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heading 3"/>
    <w:next w:val="Style_4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4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" w:type="paragraph">
    <w:name w:val="ConsPlusNonformat"/>
    <w:link w:val="Style_1_ch"/>
    <w:pPr>
      <w:widowControl w:val="0"/>
      <w:spacing w:after="0" w:line="240" w:lineRule="auto"/>
      <w:ind/>
    </w:pPr>
    <w:rPr>
      <w:rFonts w:ascii="Courier New" w:hAnsi="Courier New"/>
      <w:sz w:val="20"/>
    </w:rPr>
  </w:style>
  <w:style w:styleId="Style_1_ch" w:type="character">
    <w:name w:val="ConsPlusNonformat"/>
    <w:link w:val="Style_1"/>
    <w:rPr>
      <w:rFonts w:ascii="Courier New" w:hAnsi="Courier New"/>
      <w:sz w:val="20"/>
    </w:rPr>
  </w:style>
  <w:style w:styleId="Style_3" w:type="paragraph">
    <w:name w:val="ConsPlusCell"/>
    <w:link w:val="Style_3_ch"/>
    <w:pPr>
      <w:widowControl w:val="0"/>
      <w:spacing w:after="0" w:line="240" w:lineRule="auto"/>
      <w:ind/>
    </w:pPr>
    <w:rPr>
      <w:rFonts w:ascii="Calibri" w:hAnsi="Calibri"/>
    </w:rPr>
  </w:style>
  <w:style w:styleId="Style_3_ch" w:type="character">
    <w:name w:val="ConsPlusCell"/>
    <w:link w:val="Style_3"/>
    <w:rPr>
      <w:rFonts w:ascii="Calibri" w:hAnsi="Calibri"/>
    </w:rPr>
  </w:style>
  <w:style w:styleId="Style_11" w:type="paragraph">
    <w:name w:val="heading 5"/>
    <w:next w:val="Style_4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Body Text Indent"/>
    <w:basedOn w:val="Style_4"/>
    <w:link w:val="Style_12_ch"/>
    <w:pPr>
      <w:spacing w:after="0" w:line="240" w:lineRule="auto"/>
      <w:ind w:firstLine="709" w:left="0"/>
      <w:jc w:val="both"/>
    </w:pPr>
    <w:rPr>
      <w:rFonts w:ascii="Times New Roman" w:hAnsi="Times New Roman"/>
      <w:color w:val="000000"/>
      <w:sz w:val="24"/>
    </w:rPr>
  </w:style>
  <w:style w:styleId="Style_12_ch" w:type="character">
    <w:name w:val="Body Text Indent"/>
    <w:basedOn w:val="Style_4_ch"/>
    <w:link w:val="Style_12"/>
    <w:rPr>
      <w:rFonts w:ascii="Times New Roman" w:hAnsi="Times New Roman"/>
      <w:color w:val="000000"/>
      <w:sz w:val="24"/>
    </w:rPr>
  </w:style>
  <w:style w:styleId="Style_13" w:type="paragraph">
    <w:name w:val="heading 1"/>
    <w:next w:val="Style_4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4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toc 9"/>
    <w:next w:val="Style_4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Default Paragraph Font"/>
    <w:link w:val="Style_19_ch"/>
  </w:style>
  <w:style w:styleId="Style_19_ch" w:type="character">
    <w:name w:val="Default Paragraph Font"/>
    <w:link w:val="Style_19"/>
  </w:style>
  <w:style w:styleId="Style_20" w:type="paragraph">
    <w:name w:val="Знак Знак Знак1 Знак"/>
    <w:basedOn w:val="Style_4"/>
    <w:link w:val="Style_20_ch"/>
    <w:pPr>
      <w:spacing w:afterAutospacing="on" w:beforeAutospacing="on" w:line="240" w:lineRule="auto"/>
      <w:ind/>
    </w:pPr>
    <w:rPr>
      <w:rFonts w:ascii="Tahoma" w:hAnsi="Tahoma"/>
      <w:sz w:val="20"/>
    </w:rPr>
  </w:style>
  <w:style w:styleId="Style_20_ch" w:type="character">
    <w:name w:val="Знак Знак Знак1 Знак"/>
    <w:basedOn w:val="Style_4_ch"/>
    <w:link w:val="Style_20"/>
    <w:rPr>
      <w:rFonts w:ascii="Tahoma" w:hAnsi="Tahoma"/>
      <w:sz w:val="20"/>
    </w:rPr>
  </w:style>
  <w:style w:styleId="Style_21" w:type="paragraph">
    <w:name w:val="toc 8"/>
    <w:next w:val="Style_4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4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4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4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4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4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MyOffice-CoreFramework-Windows/26-1013.725.7203.647.3@RELEASE-DESKTOP-YERBA-RC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2023-10-04T07:15:02Z</dcterms:modified>
</cp:coreProperties>
</file>