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5000000">
      <w:pPr>
        <w:keepNext w:val="1"/>
        <w:ind/>
        <w:jc w:val="center"/>
        <w:outlineLvl w:val="1"/>
      </w:pPr>
      <w:r>
        <w:drawing>
          <wp:inline>
            <wp:extent cx="705104" cy="911478"/>
            <wp:effectExtent b="0" l="0" r="0" t="0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3"/>
                    <a:srcRect b="0" l="0" r="0" t="0"/>
                    <a:stretch/>
                  </pic:blipFill>
                  <pic:spPr>
                    <a:xfrm flipH="false" flipV="false" rot="0">
                      <a:ext cx="705104" cy="911478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6000000">
      <w:pPr>
        <w:keepNext w:val="1"/>
        <w:ind/>
        <w:jc w:val="center"/>
        <w:outlineLvl w:val="1"/>
        <w:rPr>
          <w:b w:val="1"/>
          <w:color w:val="000000"/>
          <w:sz w:val="28"/>
        </w:rPr>
      </w:pPr>
    </w:p>
    <w:p w14:paraId="07000000">
      <w:pPr>
        <w:keepNext w:val="1"/>
        <w:ind/>
        <w:jc w:val="center"/>
        <w:outlineLvl w:val="1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>РОССИЙСКАЯ ФЕДЕРАЦИЯ</w:t>
      </w:r>
    </w:p>
    <w:p w14:paraId="08000000">
      <w:pPr>
        <w:ind/>
        <w:jc w:val="center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>РОСТОВСКАЯ ОБЛАСТЬ</w:t>
      </w:r>
    </w:p>
    <w:p w14:paraId="09000000">
      <w:pPr>
        <w:ind/>
        <w:jc w:val="center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>МУНИЦИПАЛЬНОЕ ОБРАЗОВАНИЕ</w:t>
      </w:r>
    </w:p>
    <w:p w14:paraId="0A000000">
      <w:pPr>
        <w:ind/>
        <w:jc w:val="center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>«ОБЛИВСКИЙ РАЙОН»</w:t>
      </w:r>
    </w:p>
    <w:p w14:paraId="0B000000">
      <w:pPr>
        <w:ind/>
        <w:jc w:val="center"/>
        <w:rPr>
          <w:b w:val="1"/>
          <w:color w:val="000000"/>
          <w:sz w:val="28"/>
        </w:rPr>
      </w:pPr>
      <w:r>
        <w:rPr>
          <w:b w:val="1"/>
          <w:color w:val="000000"/>
          <w:sz w:val="28"/>
        </w:rPr>
        <w:t>СОБРАНИЕ ДЕПУТАТОВ ОБЛИВСКОГО РАЙОНА</w:t>
      </w:r>
    </w:p>
    <w:p w14:paraId="0C000000">
      <w:pPr>
        <w:ind/>
        <w:jc w:val="center"/>
        <w:rPr>
          <w:b w:val="1"/>
          <w:color w:val="000000"/>
          <w:sz w:val="6"/>
        </w:rPr>
      </w:pPr>
    </w:p>
    <w:p w14:paraId="0D000000">
      <w:pPr>
        <w:tabs>
          <w:tab w:leader="none" w:pos="720" w:val="left"/>
          <w:tab w:leader="none" w:pos="5330" w:val="center"/>
        </w:tabs>
        <w:spacing w:after="60" w:before="240"/>
        <w:ind/>
        <w:jc w:val="center"/>
        <w:outlineLvl w:val="5"/>
        <w:rPr>
          <w:b w:val="1"/>
          <w:color w:val="000000"/>
          <w:sz w:val="28"/>
        </w:rPr>
      </w:pPr>
      <w:r>
        <w:rPr>
          <w:b w:val="1"/>
          <w:color w:val="000000"/>
          <w:spacing w:val="40"/>
          <w:sz w:val="28"/>
        </w:rPr>
        <w:t>РЕШЕНИЕ</w:t>
      </w:r>
    </w:p>
    <w:p w14:paraId="0E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>Об утверждении отчета об исполнении бюджета Обливского</w:t>
      </w:r>
    </w:p>
    <w:p w14:paraId="0F000000">
      <w:pPr>
        <w:ind/>
        <w:jc w:val="center"/>
        <w:rPr>
          <w:b w:val="1"/>
          <w:color w:val="000000"/>
          <w:sz w:val="28"/>
        </w:rPr>
      </w:pPr>
      <w:r>
        <w:rPr>
          <w:b w:val="1"/>
          <w:sz w:val="28"/>
        </w:rPr>
        <w:t>района за 20</w:t>
      </w:r>
      <w:r>
        <w:rPr>
          <w:b w:val="1"/>
          <w:sz w:val="28"/>
        </w:rPr>
        <w:t>2</w:t>
      </w:r>
      <w:r>
        <w:rPr>
          <w:b w:val="1"/>
          <w:sz w:val="28"/>
        </w:rPr>
        <w:t>4</w:t>
      </w:r>
      <w:r>
        <w:rPr>
          <w:b w:val="1"/>
          <w:sz w:val="28"/>
        </w:rPr>
        <w:t xml:space="preserve"> год</w:t>
      </w:r>
    </w:p>
    <w:tbl>
      <w:tblPr>
        <w:tblStyle w:val="Style_3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248"/>
      </w:tblGrid>
      <w:tr>
        <w:tc>
          <w:tcPr>
            <w:tcW w:type="dxa" w:w="4248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10000000">
            <w:pPr>
              <w:ind/>
              <w:jc w:val="both"/>
              <w:outlineLvl w:val="0"/>
              <w:rPr>
                <w:sz w:val="28"/>
              </w:rPr>
            </w:pPr>
          </w:p>
        </w:tc>
      </w:tr>
    </w:tbl>
    <w:p w14:paraId="11000000">
      <w:pPr>
        <w:keepNext w:val="1"/>
        <w:ind w:firstLine="284" w:left="0" w:right="7086"/>
        <w:jc w:val="center"/>
        <w:outlineLvl w:val="3"/>
        <w:rPr>
          <w:b w:val="1"/>
          <w:sz w:val="28"/>
        </w:rPr>
      </w:pPr>
      <w:r>
        <w:rPr>
          <w:b w:val="1"/>
          <w:sz w:val="28"/>
        </w:rPr>
        <w:t>Принято</w:t>
      </w:r>
    </w:p>
    <w:p w14:paraId="12000000">
      <w:pPr>
        <w:keepNext w:val="1"/>
        <w:ind w:firstLine="284" w:left="0" w:right="-1"/>
        <w:outlineLvl w:val="3"/>
        <w:rPr>
          <w:b w:val="1"/>
          <w:sz w:val="28"/>
        </w:rPr>
      </w:pPr>
      <w:r>
        <w:rPr>
          <w:b w:val="1"/>
          <w:sz w:val="28"/>
        </w:rPr>
        <w:t xml:space="preserve">Собранием депутатов   </w:t>
      </w:r>
      <w:r>
        <w:rPr>
          <w:b w:val="1"/>
          <w:sz w:val="28"/>
        </w:rPr>
        <w:t xml:space="preserve">                 </w:t>
      </w:r>
      <w:r>
        <w:rPr>
          <w:b w:val="1"/>
          <w:sz w:val="28"/>
        </w:rPr>
        <w:t xml:space="preserve">                                         </w:t>
      </w:r>
      <w:r>
        <w:rPr>
          <w:b w:val="1"/>
          <w:sz w:val="28"/>
        </w:rPr>
        <w:t xml:space="preserve">                </w:t>
      </w:r>
    </w:p>
    <w:p w14:paraId="13000000">
      <w:pPr>
        <w:ind w:firstLine="0" w:left="540"/>
        <w:rPr>
          <w:b w:val="1"/>
          <w:sz w:val="28"/>
          <w:highlight w:val="yellow"/>
        </w:rPr>
      </w:pPr>
    </w:p>
    <w:p w14:paraId="14000000">
      <w:pPr>
        <w:spacing w:line="276" w:lineRule="auto"/>
        <w:ind w:right="14"/>
        <w:jc w:val="both"/>
        <w:rPr>
          <w:sz w:val="28"/>
        </w:rPr>
      </w:pPr>
      <w:r>
        <w:rPr>
          <w:sz w:val="28"/>
        </w:rPr>
        <w:t xml:space="preserve">       </w:t>
      </w:r>
      <w:r>
        <w:rPr>
          <w:sz w:val="28"/>
        </w:rPr>
        <w:t xml:space="preserve">Заслушав материалы об исполнении бюджета </w:t>
      </w:r>
      <w:r>
        <w:rPr>
          <w:sz w:val="28"/>
        </w:rPr>
        <w:t xml:space="preserve">Обливского района </w:t>
      </w:r>
      <w:r>
        <w:rPr>
          <w:sz w:val="28"/>
        </w:rPr>
        <w:t>за 20</w:t>
      </w:r>
      <w:r>
        <w:rPr>
          <w:sz w:val="28"/>
        </w:rPr>
        <w:t>2</w:t>
      </w:r>
      <w:r>
        <w:rPr>
          <w:sz w:val="28"/>
        </w:rPr>
        <w:t>4</w:t>
      </w:r>
      <w:r>
        <w:rPr>
          <w:sz w:val="28"/>
        </w:rPr>
        <w:t xml:space="preserve"> год</w:t>
      </w:r>
      <w:r>
        <w:rPr>
          <w:sz w:val="28"/>
        </w:rPr>
        <w:t xml:space="preserve">, </w:t>
      </w:r>
      <w:r>
        <w:rPr>
          <w:sz w:val="28"/>
        </w:rPr>
        <w:t>Собрание депутатов Обливского района решило</w:t>
      </w:r>
      <w:r>
        <w:rPr>
          <w:sz w:val="28"/>
        </w:rPr>
        <w:t>:</w:t>
      </w:r>
      <w:r>
        <w:rPr>
          <w:sz w:val="28"/>
        </w:rPr>
        <w:t xml:space="preserve"> </w:t>
      </w:r>
    </w:p>
    <w:p w14:paraId="15000000">
      <w:pPr>
        <w:spacing w:line="276" w:lineRule="auto"/>
        <w:ind w:right="14"/>
        <w:jc w:val="both"/>
        <w:rPr>
          <w:sz w:val="28"/>
        </w:rPr>
      </w:pPr>
      <w:r>
        <w:rPr>
          <w:sz w:val="28"/>
        </w:rPr>
        <w:t xml:space="preserve">     </w:t>
      </w:r>
      <w:r>
        <w:rPr>
          <w:sz w:val="28"/>
        </w:rPr>
        <w:t xml:space="preserve">   </w:t>
      </w:r>
      <w:r>
        <w:rPr>
          <w:sz w:val="28"/>
        </w:rPr>
        <w:t xml:space="preserve">1. Утвердить отчет об исполнении бюджета </w:t>
      </w:r>
      <w:r>
        <w:rPr>
          <w:sz w:val="28"/>
        </w:rPr>
        <w:t xml:space="preserve">Обливского района </w:t>
      </w:r>
      <w:r>
        <w:rPr>
          <w:sz w:val="28"/>
        </w:rPr>
        <w:t>за 20</w:t>
      </w:r>
      <w:r>
        <w:rPr>
          <w:sz w:val="28"/>
        </w:rPr>
        <w:t>2</w:t>
      </w:r>
      <w:r>
        <w:rPr>
          <w:sz w:val="28"/>
        </w:rPr>
        <w:t>4</w:t>
      </w:r>
      <w:r>
        <w:rPr>
          <w:sz w:val="28"/>
        </w:rPr>
        <w:t xml:space="preserve"> год по доходам в сумме </w:t>
      </w:r>
      <w:r>
        <w:rPr>
          <w:sz w:val="28"/>
        </w:rPr>
        <w:t>1 </w:t>
      </w:r>
      <w:r>
        <w:rPr>
          <w:sz w:val="28"/>
        </w:rPr>
        <w:t>29</w:t>
      </w:r>
      <w:r>
        <w:rPr>
          <w:sz w:val="28"/>
        </w:rPr>
        <w:t>9</w:t>
      </w:r>
      <w:r>
        <w:rPr>
          <w:sz w:val="28"/>
        </w:rPr>
        <w:t> </w:t>
      </w:r>
      <w:r>
        <w:rPr>
          <w:sz w:val="28"/>
        </w:rPr>
        <w:t>999</w:t>
      </w:r>
      <w:r>
        <w:rPr>
          <w:sz w:val="28"/>
        </w:rPr>
        <w:t>,</w:t>
      </w:r>
      <w:r>
        <w:rPr>
          <w:sz w:val="28"/>
        </w:rPr>
        <w:t>1</w:t>
      </w:r>
      <w:r>
        <w:rPr>
          <w:sz w:val="28"/>
        </w:rPr>
        <w:t xml:space="preserve"> </w:t>
      </w:r>
      <w:r>
        <w:rPr>
          <w:sz w:val="28"/>
        </w:rPr>
        <w:t>тыс. руб</w:t>
      </w:r>
      <w:r>
        <w:rPr>
          <w:sz w:val="28"/>
        </w:rPr>
        <w:t>лей</w:t>
      </w:r>
      <w:r>
        <w:rPr>
          <w:sz w:val="28"/>
        </w:rPr>
        <w:t xml:space="preserve">, по расходам в сумме </w:t>
      </w:r>
      <w:r>
        <w:rPr>
          <w:sz w:val="28"/>
        </w:rPr>
        <w:t>1 </w:t>
      </w:r>
      <w:r>
        <w:rPr>
          <w:sz w:val="28"/>
        </w:rPr>
        <w:t>2</w:t>
      </w:r>
      <w:r>
        <w:rPr>
          <w:sz w:val="28"/>
        </w:rPr>
        <w:t>8</w:t>
      </w:r>
      <w:r>
        <w:rPr>
          <w:sz w:val="28"/>
        </w:rPr>
        <w:t>8</w:t>
      </w:r>
      <w:r>
        <w:rPr>
          <w:sz w:val="28"/>
        </w:rPr>
        <w:t> 5</w:t>
      </w:r>
      <w:r>
        <w:rPr>
          <w:sz w:val="28"/>
        </w:rPr>
        <w:t>10</w:t>
      </w:r>
      <w:r>
        <w:rPr>
          <w:sz w:val="28"/>
        </w:rPr>
        <w:t>,</w:t>
      </w:r>
      <w:r>
        <w:rPr>
          <w:sz w:val="28"/>
        </w:rPr>
        <w:t>2</w:t>
      </w:r>
      <w:r>
        <w:rPr>
          <w:sz w:val="28"/>
        </w:rPr>
        <w:t xml:space="preserve"> </w:t>
      </w:r>
      <w:r>
        <w:rPr>
          <w:sz w:val="28"/>
        </w:rPr>
        <w:t>тыс. руб</w:t>
      </w:r>
      <w:r>
        <w:rPr>
          <w:sz w:val="28"/>
        </w:rPr>
        <w:t>лей</w:t>
      </w:r>
      <w:r>
        <w:rPr>
          <w:sz w:val="28"/>
        </w:rPr>
        <w:t xml:space="preserve"> с </w:t>
      </w:r>
      <w:r>
        <w:rPr>
          <w:sz w:val="28"/>
        </w:rPr>
        <w:t xml:space="preserve">превышением </w:t>
      </w:r>
      <w:r>
        <w:rPr>
          <w:sz w:val="28"/>
        </w:rPr>
        <w:t>до</w:t>
      </w:r>
      <w:r>
        <w:rPr>
          <w:sz w:val="28"/>
        </w:rPr>
        <w:t>хо</w:t>
      </w:r>
      <w:r>
        <w:rPr>
          <w:sz w:val="28"/>
        </w:rPr>
        <w:t>дов</w:t>
      </w:r>
      <w:r>
        <w:rPr>
          <w:sz w:val="28"/>
        </w:rPr>
        <w:t xml:space="preserve"> над </w:t>
      </w:r>
      <w:r>
        <w:rPr>
          <w:sz w:val="28"/>
        </w:rPr>
        <w:t>рас</w:t>
      </w:r>
      <w:r>
        <w:rPr>
          <w:sz w:val="28"/>
        </w:rPr>
        <w:t>хо</w:t>
      </w:r>
      <w:r>
        <w:rPr>
          <w:sz w:val="28"/>
        </w:rPr>
        <w:t>д</w:t>
      </w:r>
      <w:r>
        <w:rPr>
          <w:sz w:val="28"/>
        </w:rPr>
        <w:t>ами</w:t>
      </w:r>
      <w:r>
        <w:rPr>
          <w:sz w:val="28"/>
        </w:rPr>
        <w:t xml:space="preserve"> </w:t>
      </w:r>
      <w:r>
        <w:rPr>
          <w:sz w:val="28"/>
        </w:rPr>
        <w:t>(</w:t>
      </w:r>
      <w:r>
        <w:rPr>
          <w:sz w:val="28"/>
        </w:rPr>
        <w:t>про</w:t>
      </w:r>
      <w:r>
        <w:rPr>
          <w:sz w:val="28"/>
        </w:rPr>
        <w:t>ф</w:t>
      </w:r>
      <w:r>
        <w:rPr>
          <w:sz w:val="28"/>
        </w:rPr>
        <w:t>ицит</w:t>
      </w:r>
      <w:r>
        <w:rPr>
          <w:sz w:val="28"/>
        </w:rPr>
        <w:t xml:space="preserve"> бюджета Обливского района)</w:t>
      </w:r>
      <w:r>
        <w:rPr>
          <w:sz w:val="28"/>
        </w:rPr>
        <w:t xml:space="preserve"> в сумме </w:t>
      </w:r>
      <w:r>
        <w:rPr>
          <w:sz w:val="28"/>
        </w:rPr>
        <w:t>11 488,9</w:t>
      </w:r>
      <w:r>
        <w:rPr>
          <w:sz w:val="28"/>
        </w:rPr>
        <w:t xml:space="preserve"> </w:t>
      </w:r>
      <w:r>
        <w:rPr>
          <w:sz w:val="28"/>
        </w:rPr>
        <w:t xml:space="preserve">тыс. рублей </w:t>
      </w:r>
      <w:r>
        <w:rPr>
          <w:sz w:val="28"/>
        </w:rPr>
        <w:t>и со следующими показателями</w:t>
      </w:r>
      <w:r>
        <w:rPr>
          <w:sz w:val="28"/>
        </w:rPr>
        <w:t>:</w:t>
      </w:r>
    </w:p>
    <w:p w14:paraId="16000000">
      <w:pPr>
        <w:spacing w:line="276" w:lineRule="auto"/>
        <w:ind w:right="14"/>
        <w:jc w:val="both"/>
        <w:rPr>
          <w:sz w:val="28"/>
        </w:rPr>
      </w:pPr>
      <w:r>
        <w:rPr>
          <w:sz w:val="28"/>
        </w:rPr>
        <w:t xml:space="preserve">   </w:t>
      </w:r>
      <w:r>
        <w:rPr>
          <w:sz w:val="28"/>
        </w:rPr>
        <w:t xml:space="preserve">    </w:t>
      </w:r>
      <w:r>
        <w:rPr>
          <w:sz w:val="28"/>
        </w:rPr>
        <w:t xml:space="preserve"> </w:t>
      </w:r>
      <w:r>
        <w:rPr>
          <w:sz w:val="28"/>
        </w:rPr>
        <w:t>1)</w:t>
      </w:r>
      <w:r>
        <w:rPr>
          <w:sz w:val="28"/>
        </w:rPr>
        <w:t xml:space="preserve"> по доходам бюджета Обливского района по кодам классификации доходов бюджетов за 20</w:t>
      </w:r>
      <w:r>
        <w:rPr>
          <w:sz w:val="28"/>
        </w:rPr>
        <w:t>2</w:t>
      </w:r>
      <w:r>
        <w:rPr>
          <w:sz w:val="28"/>
        </w:rPr>
        <w:t>4</w:t>
      </w:r>
      <w:r>
        <w:rPr>
          <w:sz w:val="28"/>
        </w:rPr>
        <w:t xml:space="preserve"> год</w:t>
      </w:r>
      <w:r>
        <w:rPr>
          <w:sz w:val="28"/>
        </w:rPr>
        <w:t xml:space="preserve"> </w:t>
      </w:r>
      <w:r>
        <w:rPr>
          <w:sz w:val="28"/>
        </w:rPr>
        <w:t>согласно приложению 1</w:t>
      </w:r>
      <w:r>
        <w:rPr>
          <w:sz w:val="28"/>
        </w:rPr>
        <w:t xml:space="preserve"> к настоящему решению;</w:t>
      </w:r>
    </w:p>
    <w:p w14:paraId="17000000">
      <w:pPr>
        <w:spacing w:line="276" w:lineRule="auto"/>
        <w:ind w:right="14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 xml:space="preserve">  </w:t>
      </w:r>
      <w:r>
        <w:rPr>
          <w:sz w:val="28"/>
        </w:rPr>
        <w:t xml:space="preserve">    </w:t>
      </w:r>
      <w:r>
        <w:rPr>
          <w:sz w:val="28"/>
        </w:rPr>
        <w:t xml:space="preserve"> </w:t>
      </w:r>
      <w:r>
        <w:rPr>
          <w:sz w:val="28"/>
        </w:rPr>
        <w:t>2</w:t>
      </w:r>
      <w:r>
        <w:rPr>
          <w:sz w:val="28"/>
        </w:rPr>
        <w:t>)</w:t>
      </w:r>
      <w:r>
        <w:rPr>
          <w:sz w:val="28"/>
        </w:rPr>
        <w:t xml:space="preserve"> по расходам </w:t>
      </w:r>
      <w:r>
        <w:rPr>
          <w:sz w:val="28"/>
        </w:rPr>
        <w:t xml:space="preserve">бюджета </w:t>
      </w:r>
      <w:r>
        <w:rPr>
          <w:sz w:val="28"/>
        </w:rPr>
        <w:t>по ведомственной структуре расходов бюджета Обливского района за 20</w:t>
      </w:r>
      <w:r>
        <w:rPr>
          <w:sz w:val="28"/>
        </w:rPr>
        <w:t>2</w:t>
      </w:r>
      <w:r>
        <w:rPr>
          <w:sz w:val="28"/>
        </w:rPr>
        <w:t>4</w:t>
      </w:r>
      <w:r>
        <w:rPr>
          <w:sz w:val="28"/>
        </w:rPr>
        <w:t xml:space="preserve"> год согласно приложению </w:t>
      </w:r>
      <w:r>
        <w:rPr>
          <w:sz w:val="28"/>
        </w:rPr>
        <w:t>2</w:t>
      </w:r>
      <w:r>
        <w:rPr>
          <w:sz w:val="28"/>
        </w:rPr>
        <w:t xml:space="preserve"> к настоящему решению;</w:t>
      </w:r>
    </w:p>
    <w:p w14:paraId="18000000">
      <w:pPr>
        <w:spacing w:line="276" w:lineRule="auto"/>
        <w:ind w:right="14"/>
        <w:jc w:val="both"/>
        <w:rPr>
          <w:sz w:val="28"/>
        </w:rPr>
      </w:pPr>
      <w:r>
        <w:rPr>
          <w:sz w:val="28"/>
        </w:rPr>
        <w:t xml:space="preserve">   </w:t>
      </w:r>
      <w:r>
        <w:rPr>
          <w:sz w:val="28"/>
        </w:rPr>
        <w:t xml:space="preserve"> </w:t>
      </w:r>
      <w:r>
        <w:rPr>
          <w:sz w:val="28"/>
        </w:rPr>
        <w:t xml:space="preserve">  </w:t>
      </w:r>
      <w:r>
        <w:rPr>
          <w:sz w:val="28"/>
        </w:rPr>
        <w:t xml:space="preserve"> </w:t>
      </w:r>
      <w:r>
        <w:rPr>
          <w:sz w:val="28"/>
        </w:rPr>
        <w:t xml:space="preserve"> </w:t>
      </w:r>
      <w:r>
        <w:rPr>
          <w:sz w:val="28"/>
        </w:rPr>
        <w:t>3</w:t>
      </w:r>
      <w:r>
        <w:rPr>
          <w:sz w:val="28"/>
        </w:rPr>
        <w:t>)</w:t>
      </w:r>
      <w:r>
        <w:rPr>
          <w:sz w:val="28"/>
        </w:rPr>
        <w:t xml:space="preserve"> по расходам </w:t>
      </w:r>
      <w:r>
        <w:rPr>
          <w:sz w:val="28"/>
        </w:rPr>
        <w:t xml:space="preserve">бюджета </w:t>
      </w:r>
      <w:r>
        <w:rPr>
          <w:sz w:val="28"/>
        </w:rPr>
        <w:t>по разделам и подразделам</w:t>
      </w:r>
      <w:r>
        <w:rPr>
          <w:sz w:val="28"/>
        </w:rPr>
        <w:t xml:space="preserve"> </w:t>
      </w:r>
      <w:r>
        <w:rPr>
          <w:sz w:val="28"/>
        </w:rPr>
        <w:t xml:space="preserve">классификации расходов бюджетов </w:t>
      </w:r>
      <w:r>
        <w:rPr>
          <w:sz w:val="28"/>
        </w:rPr>
        <w:t>за 20</w:t>
      </w:r>
      <w:r>
        <w:rPr>
          <w:sz w:val="28"/>
        </w:rPr>
        <w:t>2</w:t>
      </w:r>
      <w:r>
        <w:rPr>
          <w:sz w:val="28"/>
        </w:rPr>
        <w:t>4</w:t>
      </w:r>
      <w:r>
        <w:rPr>
          <w:sz w:val="28"/>
        </w:rPr>
        <w:t xml:space="preserve"> год согласно приложению </w:t>
      </w:r>
      <w:r>
        <w:rPr>
          <w:sz w:val="28"/>
        </w:rPr>
        <w:t>3</w:t>
      </w:r>
      <w:r>
        <w:rPr>
          <w:sz w:val="28"/>
        </w:rPr>
        <w:t xml:space="preserve"> к настоящему решению;</w:t>
      </w:r>
    </w:p>
    <w:p w14:paraId="19000000">
      <w:pPr>
        <w:spacing w:line="276" w:lineRule="auto"/>
        <w:ind w:right="14"/>
        <w:jc w:val="both"/>
        <w:rPr>
          <w:sz w:val="28"/>
        </w:rPr>
      </w:pPr>
      <w:r>
        <w:rPr>
          <w:sz w:val="28"/>
        </w:rPr>
        <w:t xml:space="preserve">   </w:t>
      </w:r>
      <w:r>
        <w:rPr>
          <w:sz w:val="28"/>
        </w:rPr>
        <w:t xml:space="preserve">  </w:t>
      </w:r>
      <w:r>
        <w:rPr>
          <w:sz w:val="28"/>
        </w:rPr>
        <w:t xml:space="preserve">  </w:t>
      </w:r>
      <w:r>
        <w:rPr>
          <w:sz w:val="28"/>
        </w:rPr>
        <w:t xml:space="preserve"> </w:t>
      </w:r>
      <w:r>
        <w:rPr>
          <w:sz w:val="28"/>
        </w:rPr>
        <w:t>4</w:t>
      </w:r>
      <w:r>
        <w:rPr>
          <w:sz w:val="28"/>
        </w:rPr>
        <w:t>)</w:t>
      </w:r>
      <w:r>
        <w:rPr>
          <w:sz w:val="28"/>
        </w:rPr>
        <w:t xml:space="preserve"> по источникам финансирования дефицита бюджета Обливского района по кодам классификации источников финансирования дефицитов бюджетов за 20</w:t>
      </w:r>
      <w:r>
        <w:rPr>
          <w:sz w:val="28"/>
        </w:rPr>
        <w:t>2</w:t>
      </w:r>
      <w:r>
        <w:rPr>
          <w:sz w:val="28"/>
        </w:rPr>
        <w:t>4</w:t>
      </w:r>
      <w:r>
        <w:rPr>
          <w:sz w:val="28"/>
        </w:rPr>
        <w:t xml:space="preserve"> год согласно приложению</w:t>
      </w:r>
      <w:r>
        <w:rPr>
          <w:sz w:val="28"/>
        </w:rPr>
        <w:t xml:space="preserve"> </w:t>
      </w:r>
      <w:r>
        <w:rPr>
          <w:sz w:val="28"/>
        </w:rPr>
        <w:t>4</w:t>
      </w:r>
      <w:r>
        <w:rPr>
          <w:sz w:val="28"/>
        </w:rPr>
        <w:t xml:space="preserve"> к настоящему решению.</w:t>
      </w:r>
    </w:p>
    <w:p w14:paraId="1A000000">
      <w:pPr>
        <w:spacing w:line="276" w:lineRule="auto"/>
        <w:ind w:right="14"/>
        <w:jc w:val="both"/>
        <w:rPr>
          <w:sz w:val="28"/>
        </w:rPr>
      </w:pPr>
      <w:r>
        <w:rPr>
          <w:sz w:val="28"/>
        </w:rPr>
        <w:t xml:space="preserve">   </w:t>
      </w:r>
      <w:r>
        <w:rPr>
          <w:sz w:val="28"/>
        </w:rPr>
        <w:t xml:space="preserve">  </w:t>
      </w:r>
      <w:r>
        <w:rPr>
          <w:sz w:val="28"/>
        </w:rPr>
        <w:t xml:space="preserve"> </w:t>
      </w:r>
      <w:r>
        <w:rPr>
          <w:sz w:val="28"/>
        </w:rPr>
        <w:t xml:space="preserve"> </w:t>
      </w:r>
      <w:r>
        <w:rPr>
          <w:sz w:val="28"/>
        </w:rPr>
        <w:t>2</w:t>
      </w:r>
      <w:r>
        <w:rPr>
          <w:sz w:val="28"/>
        </w:rPr>
        <w:t xml:space="preserve">. </w:t>
      </w:r>
      <w:r>
        <w:rPr>
          <w:sz w:val="28"/>
        </w:rPr>
        <w:t>Настоящее решение вступает в силу со дня его официального опубликования.</w:t>
      </w:r>
    </w:p>
    <w:p w14:paraId="1B000000">
      <w:pPr>
        <w:spacing w:line="276" w:lineRule="auto"/>
        <w:ind w:right="14"/>
        <w:jc w:val="both"/>
        <w:rPr>
          <w:sz w:val="28"/>
        </w:rPr>
      </w:pPr>
    </w:p>
    <w:tbl>
      <w:tblPr>
        <w:tblStyle w:val="Style_3"/>
        <w:tblW w:type="auto" w:w="0"/>
        <w:tblInd w:type="dxa" w:w="108"/>
        <w:tblLayout w:type="fixed"/>
      </w:tblPr>
      <w:tblGrid>
        <w:gridCol w:w="4395"/>
        <w:gridCol w:w="1984"/>
        <w:gridCol w:w="4395"/>
        <w:gridCol w:w="4395"/>
        <w:gridCol w:w="5942"/>
      </w:tblGrid>
      <w:tr>
        <w:trPr>
          <w:trHeight w:hRule="exact" w:val="850"/>
        </w:trPr>
        <w:tc>
          <w:tcPr>
            <w:tcW w:type="dxa" w:w="10774"/>
            <w:gridSpan w:val="3"/>
          </w:tcPr>
          <w:p w14:paraId="1C000000">
            <w:pPr>
              <w:spacing w:after="0" w:before="0"/>
              <w:ind w:firstLine="0"/>
              <w:jc w:val="left"/>
              <w:rPr>
                <w:sz w:val="28"/>
              </w:rPr>
            </w:pPr>
            <w:r>
              <w:rPr>
                <w:sz w:val="28"/>
              </w:rPr>
              <w:t xml:space="preserve">Председатель </w:t>
            </w:r>
            <w:r>
              <w:rPr>
                <w:sz w:val="28"/>
              </w:rPr>
              <w:t xml:space="preserve">Собрания депутатов – </w:t>
            </w:r>
          </w:p>
          <w:p w14:paraId="1D000000">
            <w:pPr>
              <w:spacing w:after="0" w:before="0"/>
              <w:ind w:firstLine="0"/>
              <w:jc w:val="left"/>
              <w:rPr>
                <w:sz w:val="28"/>
              </w:rPr>
            </w:pPr>
            <w:r>
              <w:rPr>
                <w:sz w:val="28"/>
              </w:rPr>
              <w:t xml:space="preserve">Глава Обливского района                                                                 Е.С. Карамушка </w:t>
            </w:r>
          </w:p>
        </w:tc>
        <w:tc>
          <w:tcPr>
            <w:tcW w:type="dxa" w:w="4395"/>
          </w:tcPr>
          <w:p w14:paraId="1E000000">
            <w:pPr>
              <w:spacing w:line="276" w:lineRule="auto"/>
              <w:ind w:firstLine="2552" w:left="-1701"/>
              <w:jc w:val="both"/>
              <w:rPr>
                <w:sz w:val="28"/>
              </w:rPr>
            </w:pPr>
          </w:p>
          <w:p w14:paraId="1F000000">
            <w:pPr>
              <w:spacing w:line="276" w:lineRule="auto"/>
              <w:ind w:firstLine="2552" w:left="-1701"/>
              <w:jc w:val="both"/>
              <w:rPr>
                <w:sz w:val="28"/>
              </w:rPr>
            </w:pPr>
          </w:p>
          <w:p w14:paraId="20000000">
            <w:pPr>
              <w:spacing w:line="276" w:lineRule="auto"/>
              <w:ind w:firstLine="2552" w:left="-1701"/>
              <w:jc w:val="both"/>
              <w:rPr>
                <w:sz w:val="28"/>
              </w:rPr>
            </w:pPr>
          </w:p>
        </w:tc>
        <w:tc>
          <w:tcPr>
            <w:tcW w:type="dxa" w:w="5942"/>
          </w:tcPr>
          <w:p w14:paraId="21000000">
            <w:pPr>
              <w:widowControl w:val="0"/>
              <w:spacing w:line="276" w:lineRule="auto"/>
              <w:ind w:firstLine="2552" w:left="-1701"/>
              <w:jc w:val="both"/>
              <w:rPr>
                <w:color w:val="000000"/>
                <w:sz w:val="28"/>
              </w:rPr>
            </w:pPr>
          </w:p>
        </w:tc>
      </w:tr>
    </w:tbl>
    <w:p w14:paraId="22000000">
      <w:pPr>
        <w:spacing w:line="276" w:lineRule="auto"/>
        <w:ind/>
        <w:rPr>
          <w:sz w:val="28"/>
        </w:rPr>
      </w:pPr>
      <w:r>
        <w:rPr>
          <w:sz w:val="28"/>
        </w:rPr>
        <w:t xml:space="preserve">№ </w:t>
      </w:r>
      <w:r>
        <w:rPr>
          <w:sz w:val="28"/>
        </w:rPr>
        <w:t>185</w:t>
      </w:r>
    </w:p>
    <w:p w14:paraId="23000000">
      <w:pPr>
        <w:spacing w:line="276" w:lineRule="auto"/>
        <w:ind/>
        <w:rPr>
          <w:sz w:val="28"/>
        </w:rPr>
      </w:pPr>
      <w:r>
        <w:rPr>
          <w:sz w:val="28"/>
        </w:rPr>
        <w:t>15</w:t>
      </w:r>
      <w:r>
        <w:rPr>
          <w:sz w:val="28"/>
        </w:rPr>
        <w:t>.</w:t>
      </w:r>
      <w:r>
        <w:rPr>
          <w:sz w:val="28"/>
        </w:rPr>
        <w:t>05</w:t>
      </w:r>
      <w:r>
        <w:rPr>
          <w:sz w:val="28"/>
        </w:rPr>
        <w:t>.</w:t>
      </w:r>
      <w:r>
        <w:rPr>
          <w:sz w:val="28"/>
        </w:rPr>
        <w:t>2025</w:t>
      </w:r>
    </w:p>
    <w:p w14:paraId="24000000">
      <w:pPr>
        <w:spacing w:line="276" w:lineRule="auto"/>
        <w:ind/>
        <w:rPr>
          <w:sz w:val="28"/>
        </w:rPr>
      </w:pPr>
    </w:p>
    <w:sectPr>
      <w:footerReference r:id="rId1" w:type="default"/>
      <w:footerReference r:id="rId2" w:type="even"/>
      <w:pgSz w:h="16838" w:orient="portrait" w:w="11906"/>
      <w:pgMar w:bottom="284" w:footer="709" w:gutter="0" w:header="709" w:left="1260" w:right="851" w:top="567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right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2000000">
    <w:pPr>
      <w:pStyle w:val="Style_1"/>
      <w:ind w:right="360"/>
    </w:pPr>
  </w:p>
</w:ftr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ind/>
      <w:jc w:val="right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4000000">
    <w:pPr>
      <w:pStyle w:val="Style_1"/>
      <w:ind w:right="360"/>
    </w:pPr>
  </w:p>
</w:ft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rPr>
      <w:sz w:val="24"/>
    </w:rPr>
  </w:style>
  <w:style w:default="1" w:styleId="Style_4_ch" w:type="character">
    <w:name w:val="Normal"/>
    <w:link w:val="Style_4"/>
    <w:rPr>
      <w:sz w:val="24"/>
    </w:rPr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4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Body Text Indent"/>
    <w:basedOn w:val="Style_4"/>
    <w:link w:val="Style_11_ch"/>
    <w:pPr>
      <w:ind w:firstLine="720" w:left="0"/>
      <w:jc w:val="both"/>
    </w:pPr>
  </w:style>
  <w:style w:styleId="Style_11_ch" w:type="character">
    <w:name w:val="Body Text Indent"/>
    <w:basedOn w:val="Style_4_ch"/>
    <w:link w:val="Style_11"/>
  </w:style>
  <w:style w:styleId="Style_12" w:type="paragraph">
    <w:name w:val="ConsPlusTitle"/>
    <w:link w:val="Style_12_ch"/>
    <w:pPr>
      <w:widowControl w:val="0"/>
      <w:ind/>
    </w:pPr>
    <w:rPr>
      <w:b w:val="1"/>
      <w:sz w:val="24"/>
    </w:rPr>
  </w:style>
  <w:style w:styleId="Style_12_ch" w:type="character">
    <w:name w:val="ConsPlusTitle"/>
    <w:link w:val="Style_12"/>
    <w:rPr>
      <w:b w:val="1"/>
      <w:sz w:val="24"/>
    </w:rPr>
  </w:style>
  <w:style w:styleId="Style_2" w:type="paragraph">
    <w:name w:val="page number"/>
    <w:basedOn w:val="Style_13"/>
    <w:link w:val="Style_2_ch"/>
  </w:style>
  <w:style w:styleId="Style_2_ch" w:type="character">
    <w:name w:val="page number"/>
    <w:basedOn w:val="Style_13_ch"/>
    <w:link w:val="Style_2"/>
  </w:style>
  <w:style w:styleId="Style_14" w:type="paragraph">
    <w:name w:val="toc 3"/>
    <w:next w:val="Style_4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header"/>
    <w:basedOn w:val="Style_4"/>
    <w:link w:val="Style_15_ch"/>
    <w:pPr>
      <w:tabs>
        <w:tab w:leader="none" w:pos="4677" w:val="center"/>
        <w:tab w:leader="none" w:pos="9355" w:val="right"/>
      </w:tabs>
      <w:ind w:firstLine="709" w:left="0"/>
      <w:jc w:val="both"/>
    </w:pPr>
    <w:rPr>
      <w:sz w:val="28"/>
    </w:rPr>
  </w:style>
  <w:style w:styleId="Style_15_ch" w:type="character">
    <w:name w:val="header"/>
    <w:basedOn w:val="Style_4_ch"/>
    <w:link w:val="Style_15"/>
    <w:rPr>
      <w:sz w:val="28"/>
    </w:rPr>
  </w:style>
  <w:style w:styleId="Style_16" w:type="paragraph">
    <w:name w:val="heading 5"/>
    <w:next w:val="Style_4"/>
    <w:link w:val="Style_1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17" w:type="paragraph">
    <w:name w:val="heading 1"/>
    <w:next w:val="Style_4"/>
    <w:link w:val="Style_17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7_ch" w:type="character">
    <w:name w:val="heading 1"/>
    <w:link w:val="Style_17"/>
    <w:rPr>
      <w:rFonts w:ascii="XO Thames" w:hAnsi="XO Thames"/>
      <w:b w:val="1"/>
      <w:sz w:val="32"/>
    </w:rPr>
  </w:style>
  <w:style w:styleId="Style_18" w:type="paragraph">
    <w:name w:val="Balloon Text"/>
    <w:basedOn w:val="Style_4"/>
    <w:link w:val="Style_18_ch"/>
    <w:rPr>
      <w:rFonts w:ascii="Tahoma" w:hAnsi="Tahoma"/>
      <w:sz w:val="16"/>
    </w:rPr>
  </w:style>
  <w:style w:styleId="Style_18_ch" w:type="character">
    <w:name w:val="Balloon Text"/>
    <w:basedOn w:val="Style_4_ch"/>
    <w:link w:val="Style_18"/>
    <w:rPr>
      <w:rFonts w:ascii="Tahoma" w:hAnsi="Tahoma"/>
      <w:sz w:val="16"/>
    </w:rPr>
  </w:style>
  <w:style w:styleId="Style_19" w:type="paragraph">
    <w:name w:val="Hyperlink"/>
    <w:link w:val="Style_19_ch"/>
    <w:rPr>
      <w:color w:val="0000FF"/>
      <w:u w:val="single"/>
    </w:rPr>
  </w:style>
  <w:style w:styleId="Style_19_ch" w:type="character">
    <w:name w:val="Hyperlink"/>
    <w:link w:val="Style_19"/>
    <w:rPr>
      <w:color w:val="0000FF"/>
      <w:u w:val="single"/>
    </w:rPr>
  </w:style>
  <w:style w:styleId="Style_20" w:type="paragraph">
    <w:name w:val="Footnote"/>
    <w:link w:val="Style_20_ch"/>
    <w:pPr>
      <w:ind w:firstLine="851" w:left="0"/>
      <w:jc w:val="both"/>
    </w:pPr>
    <w:rPr>
      <w:rFonts w:ascii="XO Thames" w:hAnsi="XO Thames"/>
      <w:sz w:val="22"/>
    </w:rPr>
  </w:style>
  <w:style w:styleId="Style_20_ch" w:type="character">
    <w:name w:val="Footnote"/>
    <w:link w:val="Style_20"/>
    <w:rPr>
      <w:rFonts w:ascii="XO Thames" w:hAnsi="XO Thames"/>
      <w:sz w:val="22"/>
    </w:rPr>
  </w:style>
  <w:style w:styleId="Style_21" w:type="paragraph">
    <w:name w:val="toc 1"/>
    <w:next w:val="Style_4"/>
    <w:link w:val="Style_21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1_ch" w:type="character">
    <w:name w:val="toc 1"/>
    <w:link w:val="Style_21"/>
    <w:rPr>
      <w:rFonts w:ascii="XO Thames" w:hAnsi="XO Thames"/>
      <w:b w:val="1"/>
      <w:sz w:val="28"/>
    </w:rPr>
  </w:style>
  <w:style w:styleId="Style_22" w:type="paragraph">
    <w:name w:val="Header and Footer"/>
    <w:link w:val="Style_22_ch"/>
    <w:pPr>
      <w:spacing w:line="240" w:lineRule="auto"/>
      <w:ind/>
      <w:jc w:val="both"/>
    </w:pPr>
    <w:rPr>
      <w:rFonts w:ascii="XO Thames" w:hAnsi="XO Thames"/>
      <w:sz w:val="28"/>
    </w:rPr>
  </w:style>
  <w:style w:styleId="Style_22_ch" w:type="character">
    <w:name w:val="Header and Footer"/>
    <w:link w:val="Style_22"/>
    <w:rPr>
      <w:rFonts w:ascii="XO Thames" w:hAnsi="XO Thames"/>
      <w:sz w:val="28"/>
    </w:rPr>
  </w:style>
  <w:style w:styleId="Style_23" w:type="paragraph">
    <w:name w:val="toc 9"/>
    <w:next w:val="Style_4"/>
    <w:link w:val="Style_23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1" w:type="paragraph">
    <w:name w:val="footer"/>
    <w:basedOn w:val="Style_4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footer"/>
    <w:basedOn w:val="Style_4_ch"/>
    <w:link w:val="Style_1"/>
  </w:style>
  <w:style w:styleId="Style_24" w:type="paragraph">
    <w:name w:val="toc 8"/>
    <w:next w:val="Style_4"/>
    <w:link w:val="Style_2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Основной текст с отступом Знак"/>
    <w:link w:val="Style_25_ch"/>
    <w:rPr>
      <w:sz w:val="24"/>
    </w:rPr>
  </w:style>
  <w:style w:styleId="Style_25_ch" w:type="character">
    <w:name w:val="Основной текст с отступом Знак"/>
    <w:link w:val="Style_25"/>
    <w:rPr>
      <w:sz w:val="24"/>
    </w:rPr>
  </w:style>
  <w:style w:styleId="Style_26" w:type="paragraph">
    <w:name w:val="Body Text"/>
    <w:basedOn w:val="Style_4"/>
    <w:link w:val="Style_26_ch"/>
    <w:pPr>
      <w:tabs>
        <w:tab w:leader="none" w:pos="709" w:val="left"/>
      </w:tabs>
      <w:ind/>
      <w:jc w:val="both"/>
    </w:pPr>
    <w:rPr>
      <w:sz w:val="28"/>
    </w:rPr>
  </w:style>
  <w:style w:styleId="Style_26_ch" w:type="character">
    <w:name w:val="Body Text"/>
    <w:basedOn w:val="Style_4_ch"/>
    <w:link w:val="Style_26"/>
    <w:rPr>
      <w:sz w:val="28"/>
    </w:rPr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27" w:type="paragraph">
    <w:name w:val="toc 5"/>
    <w:next w:val="Style_4"/>
    <w:link w:val="Style_2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7_ch" w:type="character">
    <w:name w:val="toc 5"/>
    <w:link w:val="Style_27"/>
    <w:rPr>
      <w:rFonts w:ascii="XO Thames" w:hAnsi="XO Thames"/>
      <w:sz w:val="28"/>
    </w:rPr>
  </w:style>
  <w:style w:styleId="Style_28" w:type="paragraph">
    <w:name w:val="ConsPlusNormal"/>
    <w:link w:val="Style_28_ch"/>
    <w:pPr>
      <w:widowControl w:val="0"/>
      <w:ind w:firstLine="720" w:left="0"/>
    </w:pPr>
    <w:rPr>
      <w:rFonts w:ascii="Arial" w:hAnsi="Arial"/>
    </w:rPr>
  </w:style>
  <w:style w:styleId="Style_28_ch" w:type="character">
    <w:name w:val="ConsPlusNormal"/>
    <w:link w:val="Style_28"/>
    <w:rPr>
      <w:rFonts w:ascii="Arial" w:hAnsi="Arial"/>
    </w:rPr>
  </w:style>
  <w:style w:styleId="Style_29" w:type="paragraph">
    <w:name w:val="Subtitle"/>
    <w:next w:val="Style_4"/>
    <w:link w:val="Style_2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9_ch" w:type="character">
    <w:name w:val="Subtitle"/>
    <w:link w:val="Style_29"/>
    <w:rPr>
      <w:rFonts w:ascii="XO Thames" w:hAnsi="XO Thames"/>
      <w:i w:val="1"/>
      <w:sz w:val="24"/>
    </w:rPr>
  </w:style>
  <w:style w:styleId="Style_30" w:type="paragraph">
    <w:name w:val="ConsNormal"/>
    <w:link w:val="Style_30_ch"/>
    <w:pPr>
      <w:widowControl w:val="0"/>
      <w:ind w:firstLine="720" w:left="0" w:right="19772"/>
    </w:pPr>
    <w:rPr>
      <w:rFonts w:ascii="Arial" w:hAnsi="Arial"/>
      <w:sz w:val="40"/>
    </w:rPr>
  </w:style>
  <w:style w:styleId="Style_30_ch" w:type="character">
    <w:name w:val="ConsNormal"/>
    <w:link w:val="Style_30"/>
    <w:rPr>
      <w:rFonts w:ascii="Arial" w:hAnsi="Arial"/>
      <w:sz w:val="40"/>
    </w:rPr>
  </w:style>
  <w:style w:styleId="Style_31" w:type="paragraph">
    <w:name w:val="Title"/>
    <w:basedOn w:val="Style_4"/>
    <w:link w:val="Style_31_ch"/>
    <w:uiPriority w:val="10"/>
    <w:qFormat/>
    <w:pPr>
      <w:ind/>
      <w:jc w:val="center"/>
    </w:pPr>
    <w:rPr>
      <w:sz w:val="28"/>
    </w:rPr>
  </w:style>
  <w:style w:styleId="Style_31_ch" w:type="character">
    <w:name w:val="Title"/>
    <w:basedOn w:val="Style_4_ch"/>
    <w:link w:val="Style_31"/>
    <w:rPr>
      <w:sz w:val="28"/>
    </w:rPr>
  </w:style>
  <w:style w:styleId="Style_32" w:type="paragraph">
    <w:name w:val="heading 4"/>
    <w:next w:val="Style_4"/>
    <w:link w:val="Style_3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2_ch" w:type="character">
    <w:name w:val="heading 4"/>
    <w:link w:val="Style_32"/>
    <w:rPr>
      <w:rFonts w:ascii="XO Thames" w:hAnsi="XO Thames"/>
      <w:b w:val="1"/>
      <w:sz w:val="24"/>
    </w:rPr>
  </w:style>
  <w:style w:styleId="Style_33" w:type="paragraph">
    <w:name w:val="heading 2"/>
    <w:next w:val="Style_4"/>
    <w:link w:val="Style_3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3_ch" w:type="character">
    <w:name w:val="heading 2"/>
    <w:link w:val="Style_33"/>
    <w:rPr>
      <w:rFonts w:ascii="XO Thames" w:hAnsi="XO Thames"/>
      <w:b w:val="1"/>
      <w:sz w:val="28"/>
    </w:rPr>
  </w:style>
  <w:style w:styleId="Style_34" w:type="table">
    <w:name w:val="Table Grid"/>
    <w:basedOn w:val="Style_3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footer1.xml" Type="http://schemas.openxmlformats.org/officeDocument/2006/relationships/footer"/>
  <Relationship Id="rId2" Target="footer2.xml" Type="http://schemas.openxmlformats.org/officeDocument/2006/relationships/footer"/>
  <Relationship Id="rId3" Target="media/1.png" Type="http://schemas.openxmlformats.org/officeDocument/2006/relationships/image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MyOffice-CoreFramework-Windows/31-1191.804.9045.819.1@01270b6a23d25f32067dc36f8846da406ea65219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2025-05-15T10:30:50Z</dcterms:modified>
</cp:coreProperties>
</file>