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footer+xml" PartName="/word/footer8.xml"/>
  <Override ContentType="application/vnd.openxmlformats-officedocument.wordprocessingml.footer+xml" PartName="/word/footer9.xml"/>
  <Override ContentType="application/vnd.openxmlformats-officedocument.wordprocessingml.footnotes+xml" PartName="/word/footnotes.xml"/>
  <Override ContentType="application/vnd.openxmlformats-officedocument.wordprocessingml.header+xml" PartName="/word/header10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header+xml" PartName="/word/header7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1A000000">
      <w:pPr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drawing>
          <wp:anchor allowOverlap="true" behindDoc="false" distL="114300" distR="114300" layoutInCell="true" locked="false" relativeHeight="251658240" simplePos="false">
            <wp:simplePos x="0" y="0"/>
            <wp:positionH relativeFrom="column">
              <wp:posOffset>2700020</wp:posOffset>
            </wp:positionH>
            <wp:positionV relativeFrom="page">
              <wp:posOffset>771524</wp:posOffset>
            </wp:positionV>
            <wp:extent cx="704850" cy="914399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1"/>
                    <a:srcRect b="0" l="0" r="0" t="0"/>
                    <a:stretch/>
                  </pic:blipFill>
                  <pic:spPr>
                    <a:xfrm flipH="false" flipV="false" rot="0">
                      <a:ext cx="704850" cy="914399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1B000000">
      <w:pPr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1C000000">
      <w:pPr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1D000000">
      <w:pPr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1E000000">
      <w:pPr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1F000000">
      <w:pPr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</w:p>
    <w:p w14:paraId="20000000">
      <w:pPr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РОССИЙСКАЯ ФЕДЕРАЦИЯ</w:t>
      </w:r>
    </w:p>
    <w:p w14:paraId="21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РОСТОВСКАЯ ОБЛАСТЬ</w:t>
      </w:r>
    </w:p>
    <w:p w14:paraId="22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</w:t>
      </w:r>
    </w:p>
    <w:p w14:paraId="23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«ОБЛИВСКИЙ РАЙОН»</w:t>
      </w:r>
    </w:p>
    <w:p w14:paraId="24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5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 ДЕПУТАТОВ ОБЛИВСКОГО РАЙОНА</w:t>
      </w:r>
    </w:p>
    <w:p w14:paraId="26000000">
      <w:pPr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27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РЕШЕНИЕ</w:t>
      </w:r>
    </w:p>
    <w:p w14:paraId="28000000">
      <w:pPr>
        <w:spacing w:after="0" w:line="240" w:lineRule="auto"/>
        <w:ind/>
        <w:rPr>
          <w:rFonts w:ascii="Times New Roman" w:hAnsi="Times New Roman"/>
          <w:sz w:val="28"/>
        </w:rPr>
      </w:pPr>
    </w:p>
    <w:p w14:paraId="29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О внесении изменений в решение</w:t>
      </w:r>
    </w:p>
    <w:p w14:paraId="2A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Собрания депутатов Обливского района</w:t>
      </w:r>
    </w:p>
    <w:p w14:paraId="2B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от 26.12.2018 № 170 "Об </w:t>
      </w:r>
      <w:r>
        <w:rPr>
          <w:rFonts w:ascii="Times New Roman" w:hAnsi="Times New Roman"/>
          <w:b w:val="0"/>
          <w:sz w:val="28"/>
        </w:rPr>
        <w:t>утверждении</w:t>
      </w:r>
    </w:p>
    <w:p w14:paraId="2C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Стратегии социально-экономического развития</w:t>
      </w:r>
    </w:p>
    <w:p w14:paraId="2D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 Обливского района до 2030 года"</w:t>
      </w:r>
    </w:p>
    <w:p w14:paraId="2E000000">
      <w:pPr>
        <w:spacing w:after="0" w:line="240" w:lineRule="auto"/>
        <w:ind/>
        <w:jc w:val="center"/>
        <w:rPr>
          <w:rFonts w:ascii="Times New Roman" w:hAnsi="Times New Roman"/>
          <w:b w:val="0"/>
          <w:sz w:val="28"/>
        </w:rPr>
      </w:pPr>
    </w:p>
    <w:p w14:paraId="2F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284"/>
        <w:gridCol w:w="2944"/>
        <w:gridCol w:w="3600"/>
      </w:tblGrid>
      <w:tr>
        <w:tc>
          <w:tcPr>
            <w:tcW w:type="dxa" w:w="328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Принято</w:t>
            </w:r>
          </w:p>
          <w:p w14:paraId="3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Собранием депутатов</w:t>
            </w:r>
          </w:p>
        </w:tc>
        <w:tc>
          <w:tcPr>
            <w:tcW w:type="dxa" w:w="294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  <w:tc>
          <w:tcPr>
            <w:tcW w:type="dxa" w:w="360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8"/>
              </w:rPr>
            </w:pPr>
          </w:p>
          <w:p w14:paraId="3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              16 .07.2026</w:t>
            </w:r>
          </w:p>
        </w:tc>
      </w:tr>
    </w:tbl>
    <w:p w14:paraId="35000000">
      <w:pPr>
        <w:spacing w:after="0" w:line="240" w:lineRule="auto"/>
        <w:ind/>
        <w:rPr>
          <w:rFonts w:ascii="Times New Roman" w:hAnsi="Times New Roman"/>
          <w:sz w:val="24"/>
        </w:rPr>
      </w:pPr>
    </w:p>
    <w:p w14:paraId="36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37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приведения нормативного правового акта муниципального образования "Обливский район" в соответствие с действующим законодательством, Собрание Депутатов Обливского района</w:t>
      </w:r>
      <w:r>
        <w:rPr>
          <w:rFonts w:ascii="Times New Roman" w:hAnsi="Times New Roman"/>
          <w:sz w:val="28"/>
        </w:rPr>
        <w:t>,</w:t>
      </w:r>
    </w:p>
    <w:p w14:paraId="38000000">
      <w:pPr>
        <w:widowControl w:val="0"/>
        <w:spacing w:after="0" w:line="240" w:lineRule="auto"/>
        <w:ind w:firstLine="720" w:left="0"/>
        <w:jc w:val="both"/>
        <w:rPr>
          <w:rFonts w:ascii="Times New Roman" w:hAnsi="Times New Roman"/>
          <w:sz w:val="28"/>
        </w:rPr>
      </w:pPr>
    </w:p>
    <w:p w14:paraId="39000000">
      <w:pPr>
        <w:spacing w:after="0" w:line="240" w:lineRule="auto"/>
        <w:ind w:firstLine="709" w:left="0"/>
        <w:jc w:val="center"/>
        <w:rPr>
          <w:rFonts w:ascii="Times New Roman" w:hAnsi="Times New Roman"/>
          <w:b w:val="0"/>
          <w:sz w:val="26"/>
        </w:rPr>
      </w:pPr>
      <w:r>
        <w:rPr>
          <w:rFonts w:ascii="Times New Roman" w:hAnsi="Times New Roman"/>
          <w:b w:val="0"/>
          <w:spacing w:val="40"/>
          <w:sz w:val="26"/>
        </w:rPr>
        <w:t>РЕШИЛО</w:t>
      </w:r>
      <w:r>
        <w:rPr>
          <w:rFonts w:ascii="Times New Roman" w:hAnsi="Times New Roman"/>
          <w:b w:val="0"/>
          <w:sz w:val="26"/>
        </w:rPr>
        <w:t>:</w:t>
      </w:r>
    </w:p>
    <w:p w14:paraId="3A000000">
      <w:pPr>
        <w:spacing w:after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Внести в Решение Собрания Депутатов Обливского района от 26.12.2018 №</w:t>
      </w:r>
      <w:r>
        <w:rPr>
          <w:rFonts w:ascii="Times New Roman" w:hAnsi="Times New Roman"/>
          <w:sz w:val="28"/>
        </w:rPr>
        <w:t> 170</w:t>
      </w:r>
      <w:r>
        <w:rPr>
          <w:rFonts w:ascii="Times New Roman" w:hAnsi="Times New Roman"/>
          <w:sz w:val="28"/>
        </w:rPr>
        <w:t xml:space="preserve"> «Об утверждении Стратегии социально-экономического развития Обливского района до 2030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года» изменения согласно приложению.</w:t>
      </w:r>
    </w:p>
    <w:p w14:paraId="3B000000">
      <w:pPr>
        <w:spacing w:after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АНО «Редакции газеты «Авангард» (</w:t>
      </w:r>
      <w:r>
        <w:rPr>
          <w:rFonts w:ascii="Times New Roman" w:hAnsi="Times New Roman"/>
          <w:sz w:val="28"/>
        </w:rPr>
        <w:t>Копаненко</w:t>
      </w:r>
      <w:r>
        <w:rPr>
          <w:rFonts w:ascii="Times New Roman" w:hAnsi="Times New Roman"/>
          <w:sz w:val="28"/>
        </w:rPr>
        <w:t xml:space="preserve"> Е.А.) опубликовать настоящее решение.</w:t>
      </w:r>
    </w:p>
    <w:p w14:paraId="3C000000">
      <w:pPr>
        <w:spacing w:after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Настоящее решение вступает в силу со дня его официального </w:t>
      </w:r>
      <w:r>
        <w:rPr>
          <w:rFonts w:ascii="Times New Roman" w:hAnsi="Times New Roman"/>
          <w:sz w:val="28"/>
        </w:rPr>
        <w:t>опубликования.</w:t>
      </w:r>
    </w:p>
    <w:p w14:paraId="3D000000">
      <w:pPr>
        <w:spacing w:after="0" w:line="240" w:lineRule="auto"/>
        <w:ind w:firstLine="567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исполнением настоящего решения возложить на постоянную</w:t>
      </w:r>
      <w:r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>комиссию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по бюджету,</w:t>
      </w:r>
      <w:r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>налогам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и собственности.</w:t>
      </w:r>
    </w:p>
    <w:p w14:paraId="3E000000">
      <w:pPr>
        <w:spacing w:after="0" w:line="240" w:lineRule="auto"/>
        <w:ind w:firstLine="567" w:left="0" w:right="0"/>
        <w:jc w:val="both"/>
        <w:outlineLvl w:val="0"/>
        <w:rPr>
          <w:rFonts w:ascii="Times New Roman" w:hAnsi="Times New Roman"/>
          <w:color w:val="FF0000"/>
          <w:sz w:val="28"/>
        </w:rPr>
      </w:pPr>
    </w:p>
    <w:p w14:paraId="3F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Председатель  Собрания депутатов - </w:t>
      </w:r>
    </w:p>
    <w:p w14:paraId="40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Обливского района                                                             Е.С. Карамушка</w:t>
      </w:r>
    </w:p>
    <w:p w14:paraId="41000000">
      <w:pPr>
        <w:spacing w:after="0" w:line="240" w:lineRule="auto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16.07. 2026</w:t>
      </w:r>
      <w:r>
        <w:rPr>
          <w:rFonts w:ascii="Times New Roman" w:hAnsi="Times New Roman"/>
          <w:sz w:val="28"/>
        </w:rPr>
        <w:t xml:space="preserve"> </w:t>
      </w:r>
    </w:p>
    <w:p w14:paraId="42000000">
      <w:pPr>
        <w:spacing w:after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№ 235</w:t>
      </w:r>
    </w:p>
    <w:tbl>
      <w:tblPr>
        <w:tblStyle w:val="Style_2"/>
        <w:tblW w:type="auto" w:w="0"/>
        <w:tblInd w:type="dxa" w:w="5954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685"/>
      </w:tblGrid>
      <w:tr>
        <w:tc>
          <w:tcPr>
            <w:tcW w:type="dxa" w:w="368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Приложение к решению  Собрания депутатов Обливского района</w:t>
            </w:r>
          </w:p>
          <w:p w14:paraId="4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16.07.2026</w:t>
            </w:r>
            <w:r>
              <w:rPr>
                <w:rFonts w:ascii="Times New Roman" w:hAnsi="Times New Roman"/>
                <w:sz w:val="28"/>
              </w:rPr>
              <w:t xml:space="preserve"> г. № 235</w:t>
            </w:r>
          </w:p>
          <w:p w14:paraId="45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3685"/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Приложение к решению </w:t>
            </w:r>
            <w:r>
              <w:rPr>
                <w:rFonts w:ascii="Times New Roman" w:hAnsi="Times New Roman"/>
                <w:sz w:val="28"/>
              </w:rPr>
              <w:t>Собрания депутатов Обливского района</w:t>
            </w:r>
          </w:p>
          <w:p w14:paraId="4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26.12.2018г. № 170</w:t>
            </w:r>
          </w:p>
          <w:p w14:paraId="4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14:paraId="49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4A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4B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4C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4D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4E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4F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0000000">
      <w:pPr>
        <w:spacing w:after="0" w:line="240" w:lineRule="auto"/>
        <w:ind/>
        <w:jc w:val="center"/>
        <w:rPr>
          <w:rFonts w:ascii="Times New Roman" w:hAnsi="Times New Roman"/>
          <w:b w:val="0"/>
          <w:sz w:val="40"/>
        </w:rPr>
      </w:pPr>
      <w:r>
        <w:rPr>
          <w:rFonts w:ascii="Times New Roman" w:hAnsi="Times New Roman"/>
          <w:b w:val="0"/>
          <w:sz w:val="40"/>
        </w:rPr>
        <w:t>Стратегия социально-экономического развития</w:t>
      </w:r>
    </w:p>
    <w:p w14:paraId="51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40"/>
        </w:rPr>
      </w:pPr>
      <w:r>
        <w:rPr>
          <w:rFonts w:ascii="Times New Roman" w:hAnsi="Times New Roman"/>
          <w:b w:val="0"/>
          <w:sz w:val="40"/>
        </w:rPr>
        <w:t xml:space="preserve"> Обливского района до 2030 года</w:t>
      </w:r>
    </w:p>
    <w:p w14:paraId="52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40"/>
        </w:rPr>
      </w:pPr>
    </w:p>
    <w:p w14:paraId="53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4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5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6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7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8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9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A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B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C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D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E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5F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0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1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2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3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4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5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6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7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8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69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6A00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СОДЕРЖАНИЕ</w:t>
      </w:r>
    </w:p>
    <w:p w14:paraId="6B000000">
      <w:pPr>
        <w:widowControl w:val="0"/>
        <w:spacing w:after="0" w:before="0" w:line="240" w:lineRule="auto"/>
        <w:ind/>
        <w:jc w:val="left"/>
        <w:rPr>
          <w:rFonts w:ascii="Times New Roman" w:hAnsi="Times New Roman"/>
          <w:color w:val="000000"/>
          <w:sz w:val="28"/>
        </w:rPr>
      </w:pPr>
    </w:p>
    <w:p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begin"/>
      </w:r>
      <w:r>
        <w:instrText>HYPERLINK \l "__RefHeading___1"</w:instrText>
      </w:r>
      <w:r>
        <w:fldChar w:fldCharType="separate"/>
      </w:r>
      <w:r>
        <w:t>1. Введение</w:t>
      </w:r>
      <w:r>
        <w:tab/>
      </w:r>
      <w:r>
        <w:fldChar w:fldCharType="begin"/>
      </w:r>
      <w:r>
        <w:instrText>PAGEREF __RefHeading___1 \h</w:instrText>
      </w:r>
      <w:r>
        <w:fldChar w:fldCharType="separate"/>
      </w:r>
      <w:r>
        <w:t>6</w:t>
      </w:r>
      <w:r>
        <w:fldChar w:fldCharType="end"/>
      </w:r>
      <w:r>
        <w:fldChar w:fldCharType="end"/>
      </w:r>
    </w:p>
    <w:p w14:paraId="6D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"__RefHeading___2"</w:instrText>
      </w:r>
      <w:r>
        <w:fldChar w:fldCharType="separate"/>
      </w:r>
      <w:r>
        <w:t>2. Анализ состояния и перспектив</w:t>
      </w:r>
      <w:r>
        <w:tab/>
      </w:r>
      <w:r>
        <w:fldChar w:fldCharType="begin"/>
      </w:r>
      <w:r>
        <w:instrText>PAGEREF __RefHeading___2 \h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6E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"__RefHeading___3"</w:instrText>
      </w:r>
      <w:r>
        <w:fldChar w:fldCharType="separate"/>
      </w:r>
      <w:r>
        <w:t>социально-экономического развития Обливского района</w:t>
      </w:r>
      <w:r>
        <w:tab/>
      </w:r>
      <w:r>
        <w:fldChar w:fldCharType="begin"/>
      </w:r>
      <w:r>
        <w:instrText>PAGEREF __RefHeading___3 \h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6F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"__RefHeading___4"</w:instrText>
      </w:r>
      <w:r>
        <w:fldChar w:fldCharType="separate"/>
      </w:r>
      <w:r>
        <w:t>2.1. Административно-географические сведения</w:t>
      </w:r>
      <w:r>
        <w:tab/>
      </w:r>
      <w:r>
        <w:fldChar w:fldCharType="begin"/>
      </w:r>
      <w:r>
        <w:instrText>PAGEREF __RefHeading___4 \h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70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"__RefHeading___5"</w:instrText>
      </w:r>
      <w:r>
        <w:fldChar w:fldCharType="separate"/>
      </w:r>
      <w:r>
        <w:t>2.2. Исторические сведения</w:t>
      </w:r>
      <w:r>
        <w:tab/>
      </w:r>
      <w:r>
        <w:fldChar w:fldCharType="begin"/>
      </w:r>
      <w:r>
        <w:instrText>PAGEREF __RefHeading___5 \h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71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"__RefHeading___6"</w:instrText>
      </w:r>
      <w:r>
        <w:fldChar w:fldCharType="separate"/>
      </w:r>
      <w:r>
        <w:t>2.3. Стратегические ресурсы развития</w:t>
      </w:r>
      <w:r>
        <w:tab/>
      </w:r>
      <w:r>
        <w:fldChar w:fldCharType="begin"/>
      </w:r>
      <w:r>
        <w:instrText>PAGEREF __RefHeading___6 \h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72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"__RefHeading___7"</w:instrText>
      </w:r>
      <w:r>
        <w:fldChar w:fldCharType="separate"/>
      </w:r>
      <w:r>
        <w:t>2.3.1. Природно-географический капитал и историческое наследие</w:t>
      </w:r>
      <w:r>
        <w:tab/>
      </w:r>
      <w:r>
        <w:fldChar w:fldCharType="begin"/>
      </w:r>
      <w:r>
        <w:instrText>PAGEREF __RefHeading___7 \h</w:instrText>
      </w:r>
      <w:r>
        <w:fldChar w:fldCharType="separate"/>
      </w:r>
      <w:r>
        <w:t>10</w:t>
      </w:r>
      <w:r>
        <w:fldChar w:fldCharType="end"/>
      </w:r>
      <w:r>
        <w:fldChar w:fldCharType="end"/>
      </w:r>
    </w:p>
    <w:p w14:paraId="73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"__RefHeading___8"</w:instrText>
      </w:r>
      <w:r>
        <w:fldChar w:fldCharType="separate"/>
      </w:r>
      <w:r>
        <w:t>2.3.2. Население и трудовые ресурсы</w:t>
      </w:r>
      <w:r>
        <w:tab/>
      </w:r>
      <w:r>
        <w:fldChar w:fldCharType="begin"/>
      </w:r>
      <w:r>
        <w:instrText>PAGEREF __RefHeading___8 \h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74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"__RefHeading___9"</w:instrText>
      </w:r>
      <w:r>
        <w:fldChar w:fldCharType="separate"/>
      </w:r>
      <w:r>
        <w:t>2.3.3. Научно-образовательная среда</w:t>
      </w:r>
      <w:r>
        <w:tab/>
      </w:r>
      <w:r>
        <w:fldChar w:fldCharType="begin"/>
      </w:r>
      <w:r>
        <w:instrText>PAGEREF __RefHeading___9 \h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75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"__RefHeading___10"</w:instrText>
      </w:r>
      <w:r>
        <w:fldChar w:fldCharType="separate"/>
      </w:r>
      <w:r>
        <w:t>2.3.4. Инфраструктурные ресурсы</w:t>
      </w:r>
      <w:r>
        <w:tab/>
      </w:r>
      <w:r>
        <w:fldChar w:fldCharType="begin"/>
      </w:r>
      <w:r>
        <w:instrText>PAGEREF __RefHeading___10 \h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 w14:paraId="76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"__RefHeading___11"</w:instrText>
      </w:r>
      <w:r>
        <w:fldChar w:fldCharType="separate"/>
      </w:r>
      <w:r>
        <w:t>2.3.5. Торговля и потребительский рынок</w:t>
      </w:r>
      <w:r>
        <w:tab/>
      </w:r>
      <w:r>
        <w:fldChar w:fldCharType="begin"/>
      </w:r>
      <w:r>
        <w:instrText>PAGEREF __RefHeading___11 \h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 w14:paraId="77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"__RefHeading___12"</w:instrText>
      </w:r>
      <w:r>
        <w:fldChar w:fldCharType="separate"/>
      </w:r>
      <w:r>
        <w:t>2.3.6. Финансовый сектор</w:t>
      </w:r>
      <w:r>
        <w:tab/>
      </w:r>
      <w:r>
        <w:fldChar w:fldCharType="begin"/>
      </w:r>
      <w:r>
        <w:instrText>PAGEREF __RefHeading___12 \h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78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"__RefHeading___13"</w:instrText>
      </w:r>
      <w:r>
        <w:fldChar w:fldCharType="separate"/>
      </w:r>
      <w:r>
        <w:t>2.3.7. Институциональные условия и институты развития</w:t>
      </w:r>
      <w:r>
        <w:tab/>
      </w:r>
      <w:r>
        <w:fldChar w:fldCharType="begin"/>
      </w:r>
      <w:r>
        <w:instrText>PAGEREF __RefHeading___13 \h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 w14:paraId="79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"__RefHeading___14"</w:instrText>
      </w:r>
      <w:r>
        <w:fldChar w:fldCharType="separate"/>
      </w:r>
      <w:r>
        <w:t>2.4. Основные итоги</w:t>
      </w:r>
      <w:r>
        <w:tab/>
      </w:r>
      <w:r>
        <w:fldChar w:fldCharType="begin"/>
      </w:r>
      <w:r>
        <w:instrText>PAGEREF __RefHeading___14 \h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7A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"__RefHeading___15"</w:instrText>
      </w:r>
      <w:r>
        <w:fldChar w:fldCharType="separate"/>
      </w:r>
      <w:r>
        <w:t>социально-экономического развития в 2020 – 2025 годах</w:t>
      </w:r>
      <w:r>
        <w:tab/>
      </w:r>
      <w:r>
        <w:fldChar w:fldCharType="begin"/>
      </w:r>
      <w:r>
        <w:instrText>PAGEREF __RefHeading___15 \h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 w14:paraId="7B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"__RefHeading___16"</w:instrText>
      </w:r>
      <w:r>
        <w:fldChar w:fldCharType="separate"/>
      </w:r>
      <w:r>
        <w:t>2.5. Направления развития</w:t>
      </w:r>
      <w:r>
        <w:tab/>
      </w:r>
      <w:r>
        <w:fldChar w:fldCharType="begin"/>
      </w:r>
      <w:r>
        <w:instrText>PAGEREF __RefHeading___16 \h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7C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"__RefHeading___17"</w:instrText>
      </w:r>
      <w:r>
        <w:fldChar w:fldCharType="separate"/>
      </w:r>
      <w:r>
        <w:t>социально-экономического потенциала</w:t>
      </w:r>
      <w:r>
        <w:tab/>
      </w:r>
      <w:r>
        <w:fldChar w:fldCharType="begin"/>
      </w:r>
      <w:r>
        <w:instrText>PAGEREF __RefHeading___17 \h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7D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"__RefHeading___18"</w:instrText>
      </w:r>
      <w:r>
        <w:fldChar w:fldCharType="separate"/>
      </w:r>
      <w:r>
        <w:t>Обливского района в условиях стратегических вызовов</w:t>
      </w:r>
      <w:r>
        <w:tab/>
      </w:r>
      <w:r>
        <w:fldChar w:fldCharType="begin"/>
      </w:r>
      <w:r>
        <w:instrText>PAGEREF __RefHeading___18 \h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 w14:paraId="7E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"__RefHeading___19"</w:instrText>
      </w:r>
      <w:r>
        <w:fldChar w:fldCharType="separate"/>
      </w:r>
      <w:r>
        <w:t>3. Система целеполагания</w:t>
      </w:r>
      <w:r>
        <w:tab/>
      </w:r>
      <w:r>
        <w:fldChar w:fldCharType="begin"/>
      </w:r>
      <w:r>
        <w:instrText>PAGEREF __RefHeading___19 \h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 w14:paraId="7F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"__RefHeading___20"</w:instrText>
      </w:r>
      <w:r>
        <w:fldChar w:fldCharType="separate"/>
      </w:r>
      <w:r>
        <w:t>3.2. Цели устойчивого развития</w:t>
      </w:r>
      <w:r>
        <w:tab/>
      </w:r>
      <w:r>
        <w:fldChar w:fldCharType="begin"/>
      </w:r>
      <w:r>
        <w:instrText>PAGEREF __RefHeading___20 \h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 w14:paraId="80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"__RefHeading___21"</w:instrText>
      </w:r>
      <w:r>
        <w:fldChar w:fldCharType="separate"/>
      </w:r>
      <w:r>
        <w:t>3.3. Целевой сценарий развития</w:t>
      </w:r>
      <w:r>
        <w:tab/>
      </w:r>
      <w:r>
        <w:fldChar w:fldCharType="begin"/>
      </w:r>
      <w:r>
        <w:instrText>PAGEREF __RefHeading___21 \h</w:instrText>
      </w:r>
      <w:r>
        <w:fldChar w:fldCharType="separate"/>
      </w:r>
      <w:r>
        <w:t>29</w:t>
      </w:r>
      <w:r>
        <w:fldChar w:fldCharType="end"/>
      </w:r>
      <w:r>
        <w:fldChar w:fldCharType="end"/>
      </w:r>
    </w:p>
    <w:p w14:paraId="81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"__RefHeading___22"</w:instrText>
      </w:r>
      <w:r>
        <w:fldChar w:fldCharType="separate"/>
      </w:r>
      <w:r>
        <w:t>4. Механизм реализации целевого сценария</w:t>
      </w:r>
      <w:r>
        <w:tab/>
      </w:r>
      <w:r>
        <w:fldChar w:fldCharType="begin"/>
      </w:r>
      <w:r>
        <w:instrText>PAGEREF __RefHeading___22 \h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 w14:paraId="82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"__RefHeading___23"</w:instrText>
      </w:r>
      <w:r>
        <w:fldChar w:fldCharType="separate"/>
      </w:r>
      <w:r>
        <w:t>4.1.1. Демография</w:t>
      </w:r>
      <w:r>
        <w:tab/>
      </w:r>
      <w:r>
        <w:fldChar w:fldCharType="begin"/>
      </w:r>
      <w:r>
        <w:instrText>PAGEREF __RefHeading___23 \h</w:instrText>
      </w:r>
      <w:r>
        <w:fldChar w:fldCharType="separate"/>
      </w:r>
      <w:r>
        <w:t>31</w:t>
      </w:r>
      <w:r>
        <w:fldChar w:fldCharType="end"/>
      </w:r>
      <w:r>
        <w:fldChar w:fldCharType="end"/>
      </w:r>
    </w:p>
    <w:p w14:paraId="83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"__RefHeading___24"</w:instrText>
      </w:r>
      <w:r>
        <w:fldChar w:fldCharType="separate"/>
      </w:r>
      <w:r>
        <w:t>4.1.2. Здравоохранение</w:t>
      </w:r>
      <w:r>
        <w:tab/>
      </w:r>
      <w:r>
        <w:fldChar w:fldCharType="begin"/>
      </w:r>
      <w:r>
        <w:instrText>PAGEREF __RefHeading___24 \h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 w14:paraId="84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"__RefHeading___25"</w:instrText>
      </w:r>
      <w:r>
        <w:fldChar w:fldCharType="separate"/>
      </w:r>
      <w:r>
        <w:t>4.1.3. Спорт</w:t>
      </w:r>
      <w:r>
        <w:tab/>
      </w:r>
      <w:r>
        <w:fldChar w:fldCharType="begin"/>
      </w:r>
      <w:r>
        <w:instrText>PAGEREF __RefHeading___25 \h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 w14:paraId="85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"__RefHeading___26"</w:instrText>
      </w:r>
      <w:r>
        <w:fldChar w:fldCharType="separate"/>
      </w:r>
      <w:r>
        <w:t>4.2. Реализация</w:t>
      </w:r>
      <w:r>
        <w:tab/>
      </w:r>
      <w:r>
        <w:fldChar w:fldCharType="begin"/>
      </w:r>
      <w:r>
        <w:instrText>PAGEREF __RefHeading___26 \h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 w14:paraId="86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"__RefHeading___27"</w:instrText>
      </w:r>
      <w:r>
        <w:fldChar w:fldCharType="separate"/>
      </w:r>
      <w:r>
        <w:t>потенциала каждого человека,</w:t>
      </w:r>
      <w:r>
        <w:tab/>
      </w:r>
      <w:r>
        <w:fldChar w:fldCharType="begin"/>
      </w:r>
      <w:r>
        <w:instrText>PAGEREF __RefHeading___27 \h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 w14:paraId="87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"__RefHeading___28"</w:instrText>
      </w:r>
      <w:r>
        <w:fldChar w:fldCharType="separate"/>
      </w:r>
      <w:r>
        <w:t>развитие его талантов, воспитание патриотичной</w:t>
      </w:r>
      <w:r>
        <w:tab/>
      </w:r>
      <w:r>
        <w:fldChar w:fldCharType="begin"/>
      </w:r>
      <w:r>
        <w:instrText>PAGEREF __RefHeading___28 \h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 w14:paraId="88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"__RefHeading___29"</w:instrText>
      </w:r>
      <w:r>
        <w:fldChar w:fldCharType="separate"/>
      </w:r>
      <w:r>
        <w:t>и социально ответственной личности в Обливском районе</w:t>
      </w:r>
      <w:r>
        <w:tab/>
      </w:r>
      <w:r>
        <w:fldChar w:fldCharType="begin"/>
      </w:r>
      <w:r>
        <w:instrText>PAGEREF __RefHeading___29 \h</w:instrText>
      </w:r>
      <w:r>
        <w:fldChar w:fldCharType="separate"/>
      </w:r>
      <w:r>
        <w:t>38</w:t>
      </w:r>
      <w:r>
        <w:fldChar w:fldCharType="end"/>
      </w:r>
      <w:r>
        <w:fldChar w:fldCharType="end"/>
      </w:r>
    </w:p>
    <w:p w14:paraId="89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"__RefHeading___30"</w:instrText>
      </w:r>
      <w:r>
        <w:fldChar w:fldCharType="separate"/>
      </w:r>
      <w:r>
        <w:t>4.2.1. Образование</w:t>
      </w:r>
      <w:r>
        <w:tab/>
      </w:r>
      <w:r>
        <w:fldChar w:fldCharType="begin"/>
      </w:r>
      <w:r>
        <w:instrText>PAGEREF __RefHeading___30 \h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 w14:paraId="8A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"__RefHeading___31"</w:instrText>
      </w:r>
      <w:r>
        <w:fldChar w:fldCharType="separate"/>
      </w:r>
      <w:r>
        <w:t>4.2.2. Культура</w:t>
      </w:r>
      <w:r>
        <w:tab/>
      </w:r>
      <w:r>
        <w:fldChar w:fldCharType="begin"/>
      </w:r>
      <w:r>
        <w:instrText>PAGEREF __RefHeading___31 \h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 w14:paraId="8B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"__RefHeading___32"</w:instrText>
      </w:r>
      <w:r>
        <w:fldChar w:fldCharType="separate"/>
      </w:r>
      <w:r>
        <w:t>4.2.3. Молодежная политика</w:t>
      </w:r>
      <w:r>
        <w:tab/>
      </w:r>
      <w:r>
        <w:fldChar w:fldCharType="begin"/>
      </w:r>
      <w:r>
        <w:instrText>PAGEREF __RefHeading___32 \h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 w14:paraId="8C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"__RefHeading___33"</w:instrText>
      </w:r>
      <w:r>
        <w:fldChar w:fldCharType="separate"/>
      </w:r>
      <w:r>
        <w:t>4.2.4. Государственная национальная политика</w:t>
      </w:r>
      <w:r>
        <w:tab/>
      </w:r>
      <w:r>
        <w:fldChar w:fldCharType="begin"/>
      </w:r>
      <w:r>
        <w:instrText>PAGEREF __RefHeading___33 \h</w:instrText>
      </w:r>
      <w:r>
        <w:fldChar w:fldCharType="separate"/>
      </w:r>
      <w:r>
        <w:t>46</w:t>
      </w:r>
      <w:r>
        <w:fldChar w:fldCharType="end"/>
      </w:r>
      <w:r>
        <w:fldChar w:fldCharType="end"/>
      </w:r>
    </w:p>
    <w:p w14:paraId="8D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"__RefHeading___34"</w:instrText>
      </w:r>
      <w:r>
        <w:fldChar w:fldCharType="separate"/>
      </w:r>
      <w:r>
        <w:t>4.2.5. Казачество</w:t>
      </w:r>
      <w:r>
        <w:tab/>
      </w:r>
      <w:r>
        <w:fldChar w:fldCharType="begin"/>
      </w:r>
      <w:r>
        <w:instrText>PAGEREF __RefHeading___34 \h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 w14:paraId="8E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"__RefHeading___35"</w:instrText>
      </w:r>
      <w:r>
        <w:fldChar w:fldCharType="separate"/>
      </w:r>
      <w:r>
        <w:t>4.3. Комфортная и безопасная среда для жизни в Обливском районе</w:t>
      </w:r>
      <w:r>
        <w:tab/>
      </w:r>
      <w:r>
        <w:fldChar w:fldCharType="begin"/>
      </w:r>
      <w:r>
        <w:instrText>PAGEREF __RefHeading___35 \h</w:instrText>
      </w:r>
      <w:r>
        <w:fldChar w:fldCharType="separate"/>
      </w:r>
      <w:r>
        <w:t>48</w:t>
      </w:r>
      <w:r>
        <w:fldChar w:fldCharType="end"/>
      </w:r>
      <w:r>
        <w:fldChar w:fldCharType="end"/>
      </w:r>
    </w:p>
    <w:p w14:paraId="8F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"__RefHeading___36"</w:instrText>
      </w:r>
      <w:r>
        <w:fldChar w:fldCharType="separate"/>
      </w:r>
      <w:r>
        <w:t>4.3.1. Строительный комплекс</w:t>
      </w:r>
      <w:r>
        <w:tab/>
      </w:r>
      <w:r>
        <w:fldChar w:fldCharType="begin"/>
      </w:r>
      <w:r>
        <w:instrText>PAGEREF __RefHeading___36 \h</w:instrText>
      </w:r>
      <w:r>
        <w:fldChar w:fldCharType="separate"/>
      </w:r>
      <w:r>
        <w:t>48</w:t>
      </w:r>
      <w:r>
        <w:fldChar w:fldCharType="end"/>
      </w:r>
      <w:r>
        <w:fldChar w:fldCharType="end"/>
      </w:r>
    </w:p>
    <w:p w14:paraId="90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"__RefHeading___37"</w:instrText>
      </w:r>
      <w:r>
        <w:fldChar w:fldCharType="separate"/>
      </w:r>
      <w:r>
        <w:t>4.3.2. Жилищно-коммунальное хозяйство</w:t>
      </w:r>
      <w:r>
        <w:tab/>
      </w:r>
      <w:r>
        <w:fldChar w:fldCharType="begin"/>
      </w:r>
      <w:r>
        <w:instrText>PAGEREF __RefHeading___37 \h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 w14:paraId="91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"__RefHeading___38"</w:instrText>
      </w:r>
      <w:r>
        <w:fldChar w:fldCharType="separate"/>
      </w:r>
      <w:r>
        <w:t>4.3.3. Транспорт и логистика</w:t>
      </w:r>
      <w:r>
        <w:tab/>
      </w:r>
      <w:r>
        <w:fldChar w:fldCharType="begin"/>
      </w:r>
      <w:r>
        <w:instrText>PAGEREF __RefHeading___38 \h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 w14:paraId="92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"__RefHeading___39"</w:instrText>
      </w:r>
      <w:r>
        <w:fldChar w:fldCharType="separate"/>
      </w:r>
      <w:r>
        <w:t>4.3.4. Инженерно-энергетическая инфраструктура</w:t>
      </w:r>
      <w:r>
        <w:tab/>
      </w:r>
      <w:r>
        <w:fldChar w:fldCharType="begin"/>
      </w:r>
      <w:r>
        <w:instrText>PAGEREF __RefHeading___39 \h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 w14:paraId="93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"__RefHeading___40"</w:instrText>
      </w:r>
      <w:r>
        <w:fldChar w:fldCharType="separate"/>
      </w:r>
      <w:r>
        <w:t>4.4. Экологическое благополучие в Обливском районе</w:t>
      </w:r>
      <w:r>
        <w:tab/>
      </w:r>
      <w:r>
        <w:fldChar w:fldCharType="begin"/>
      </w:r>
      <w:r>
        <w:instrText>PAGEREF __RefHeading___40 \h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 w14:paraId="94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"__RefHeading___41"</w:instrText>
      </w:r>
      <w:r>
        <w:fldChar w:fldCharType="separate"/>
      </w:r>
      <w:r>
        <w:t>4.4.1. Экология</w:t>
      </w:r>
      <w:r>
        <w:tab/>
      </w:r>
      <w:r>
        <w:fldChar w:fldCharType="begin"/>
      </w:r>
      <w:r>
        <w:instrText>PAGEREF __RefHeading___41 \h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 w14:paraId="95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"__RefHeading___42"</w:instrText>
      </w:r>
      <w:r>
        <w:fldChar w:fldCharType="separate"/>
      </w:r>
      <w:r>
        <w:t>4.4.2. Безопасность общества</w:t>
      </w:r>
      <w:r>
        <w:tab/>
      </w:r>
      <w:r>
        <w:fldChar w:fldCharType="begin"/>
      </w:r>
      <w:r>
        <w:instrText>PAGEREF __RefHeading___42 \h</w:instrText>
      </w:r>
      <w:r>
        <w:fldChar w:fldCharType="separate"/>
      </w:r>
      <w:r>
        <w:t>54</w:t>
      </w:r>
      <w:r>
        <w:fldChar w:fldCharType="end"/>
      </w:r>
      <w:r>
        <w:fldChar w:fldCharType="end"/>
      </w:r>
    </w:p>
    <w:p w14:paraId="96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"__RefHeading___43"</w:instrText>
      </w:r>
      <w:r>
        <w:fldChar w:fldCharType="separate"/>
      </w:r>
      <w:r>
        <w:t>4.5. Устойчивая и динамичная экономика в Обливском районе</w:t>
      </w:r>
      <w:r>
        <w:tab/>
      </w:r>
      <w:r>
        <w:fldChar w:fldCharType="begin"/>
      </w:r>
      <w:r>
        <w:instrText>PAGEREF __RefHeading___43 \h</w:instrText>
      </w:r>
      <w:r>
        <w:fldChar w:fldCharType="separate"/>
      </w:r>
      <w:r>
        <w:t>55</w:t>
      </w:r>
      <w:r>
        <w:fldChar w:fldCharType="end"/>
      </w:r>
      <w:r>
        <w:fldChar w:fldCharType="end"/>
      </w:r>
    </w:p>
    <w:p w14:paraId="97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"__RefHeading___44"</w:instrText>
      </w:r>
      <w:r>
        <w:fldChar w:fldCharType="separate"/>
      </w:r>
      <w:r>
        <w:t>4.5.1. Малый и средний бизнес</w:t>
      </w:r>
      <w:r>
        <w:tab/>
      </w:r>
      <w:r>
        <w:fldChar w:fldCharType="begin"/>
      </w:r>
      <w:r>
        <w:instrText>PAGEREF __RefHeading___44 \h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 w14:paraId="98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"__RefHeading___45"</w:instrText>
      </w:r>
      <w:r>
        <w:fldChar w:fldCharType="separate"/>
      </w:r>
      <w:r>
        <w:t>4.5.2. Инвестиции</w:t>
      </w:r>
      <w:r>
        <w:tab/>
      </w:r>
      <w:r>
        <w:fldChar w:fldCharType="begin"/>
      </w:r>
      <w:r>
        <w:instrText>PAGEREF __RefHeading___45 \h</w:instrText>
      </w:r>
      <w:r>
        <w:fldChar w:fldCharType="separate"/>
      </w:r>
      <w:r>
        <w:t>57</w:t>
      </w:r>
      <w:r>
        <w:fldChar w:fldCharType="end"/>
      </w:r>
      <w:r>
        <w:fldChar w:fldCharType="end"/>
      </w:r>
    </w:p>
    <w:p w14:paraId="99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"__RefHeading___46"</w:instrText>
      </w:r>
      <w:r>
        <w:fldChar w:fldCharType="separate"/>
      </w:r>
      <w:r>
        <w:t>4.5.3. Экспорт</w:t>
      </w:r>
      <w:r>
        <w:tab/>
      </w:r>
      <w:r>
        <w:fldChar w:fldCharType="begin"/>
      </w:r>
      <w:r>
        <w:instrText>PAGEREF __RefHeading___46 \h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 w14:paraId="9A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"__RefHeading___47"</w:instrText>
      </w:r>
      <w:r>
        <w:fldChar w:fldCharType="separate"/>
      </w:r>
      <w:r>
        <w:t>4.5.4. Производительность труда</w:t>
      </w:r>
      <w:r>
        <w:tab/>
      </w:r>
      <w:r>
        <w:fldChar w:fldCharType="begin"/>
      </w:r>
      <w:r>
        <w:instrText>PAGEREF __RefHeading___47 \h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 w14:paraId="9B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"__RefHeading___48"</w:instrText>
      </w:r>
      <w:r>
        <w:fldChar w:fldCharType="separate"/>
      </w:r>
      <w:r>
        <w:t>4.5.5. Туризм</w:t>
      </w:r>
      <w:r>
        <w:tab/>
      </w:r>
      <w:r>
        <w:fldChar w:fldCharType="begin"/>
      </w:r>
      <w:r>
        <w:instrText>PAGEREF __RefHeading___48 \h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 w14:paraId="9C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"__RefHeading___49"</w:instrText>
      </w:r>
      <w:r>
        <w:fldChar w:fldCharType="separate"/>
      </w:r>
      <w:r>
        <w:t>4.5.6. Креативные индустрии</w:t>
      </w:r>
      <w:r>
        <w:tab/>
      </w:r>
      <w:r>
        <w:fldChar w:fldCharType="begin"/>
      </w:r>
      <w:r>
        <w:instrText>PAGEREF __RefHeading___49 \h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 w14:paraId="9D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"__RefHeading___50"</w:instrText>
      </w:r>
      <w:r>
        <w:fldChar w:fldCharType="separate"/>
      </w:r>
      <w:r>
        <w:t>4.5.7. Агропромышленный комплекс</w:t>
      </w:r>
      <w:r>
        <w:tab/>
      </w:r>
      <w:r>
        <w:fldChar w:fldCharType="begin"/>
      </w:r>
      <w:r>
        <w:instrText>PAGEREF __RefHeading___50 \h</w:instrText>
      </w:r>
      <w:r>
        <w:fldChar w:fldCharType="separate"/>
      </w:r>
      <w:r>
        <w:t>61</w:t>
      </w:r>
      <w:r>
        <w:fldChar w:fldCharType="end"/>
      </w:r>
      <w:r>
        <w:fldChar w:fldCharType="end"/>
      </w:r>
    </w:p>
    <w:p w14:paraId="9E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"__RefHeading___51"</w:instrText>
      </w:r>
      <w:r>
        <w:fldChar w:fldCharType="separate"/>
      </w:r>
      <w:r>
        <w:t>4.5.8. Потребительский рынок</w:t>
      </w:r>
      <w:r>
        <w:tab/>
      </w:r>
      <w:r>
        <w:fldChar w:fldCharType="begin"/>
      </w:r>
      <w:r>
        <w:instrText>PAGEREF __RefHeading___51 \h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 w14:paraId="9F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"__RefHeading___52"</w:instrText>
      </w:r>
      <w:r>
        <w:fldChar w:fldCharType="separate"/>
      </w:r>
      <w:r>
        <w:t>4.5.9. Кадровое обеспечение экономики района</w:t>
      </w:r>
      <w:r>
        <w:tab/>
      </w:r>
      <w:r>
        <w:fldChar w:fldCharType="begin"/>
      </w:r>
      <w:r>
        <w:instrText>PAGEREF __RefHeading___52 \h</w:instrText>
      </w:r>
      <w:r>
        <w:fldChar w:fldCharType="separate"/>
      </w:r>
      <w:r>
        <w:t>64</w:t>
      </w:r>
      <w:r>
        <w:fldChar w:fldCharType="end"/>
      </w:r>
      <w:r>
        <w:fldChar w:fldCharType="end"/>
      </w:r>
    </w:p>
    <w:p w14:paraId="A0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"__RefHeading___53"</w:instrText>
      </w:r>
      <w:r>
        <w:fldChar w:fldCharType="separate"/>
      </w:r>
      <w:r>
        <w:t>4.6. Технологическое лидерство в Обливском районе</w:t>
      </w:r>
      <w:r>
        <w:tab/>
      </w:r>
      <w:r>
        <w:fldChar w:fldCharType="begin"/>
      </w:r>
      <w:r>
        <w:instrText>PAGEREF __RefHeading___53 \h</w:instrText>
      </w:r>
      <w:r>
        <w:fldChar w:fldCharType="separate"/>
      </w:r>
      <w:r>
        <w:t>65</w:t>
      </w:r>
      <w:r>
        <w:fldChar w:fldCharType="end"/>
      </w:r>
      <w:r>
        <w:fldChar w:fldCharType="end"/>
      </w:r>
    </w:p>
    <w:p w14:paraId="A1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"__RefHeading___54"</w:instrText>
      </w:r>
      <w:r>
        <w:fldChar w:fldCharType="separate"/>
      </w:r>
      <w:r>
        <w:t>4.6.1. Промышленность</w:t>
      </w:r>
      <w:r>
        <w:tab/>
      </w:r>
      <w:r>
        <w:fldChar w:fldCharType="begin"/>
      </w:r>
      <w:r>
        <w:instrText>PAGEREF __RefHeading___54 \h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 w14:paraId="A2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"__RefHeading___55"</w:instrText>
      </w:r>
      <w:r>
        <w:fldChar w:fldCharType="separate"/>
      </w:r>
      <w:r>
        <w:t>4.7. Цифровая трансформация</w:t>
      </w:r>
      <w:r>
        <w:tab/>
      </w:r>
      <w:r>
        <w:fldChar w:fldCharType="begin"/>
      </w:r>
      <w:r>
        <w:instrText>PAGEREF __RefHeading___55 \h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 w14:paraId="A3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"__RefHeading___56"</w:instrText>
      </w:r>
      <w:r>
        <w:fldChar w:fldCharType="separate"/>
      </w:r>
      <w:r>
        <w:t>муниципального управления,</w:t>
      </w:r>
      <w:r>
        <w:tab/>
      </w:r>
      <w:r>
        <w:fldChar w:fldCharType="begin"/>
      </w:r>
      <w:r>
        <w:instrText>PAGEREF __RefHeading___56 \h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 w14:paraId="A4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"__RefHeading___57"</w:instrText>
      </w:r>
      <w:r>
        <w:fldChar w:fldCharType="separate"/>
      </w:r>
      <w:r>
        <w:t>экономики и социальной сферы в Обливском районе</w:t>
      </w:r>
      <w:r>
        <w:tab/>
      </w:r>
      <w:r>
        <w:fldChar w:fldCharType="begin"/>
      </w:r>
      <w:r>
        <w:instrText>PAGEREF __RefHeading___57 \h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 w14:paraId="A5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"__RefHeading___58"</w:instrText>
      </w:r>
      <w:r>
        <w:fldChar w:fldCharType="separate"/>
      </w:r>
      <w:r>
        <w:t>4.7.1. Информационно-коммуникационные технологии и инфраструктура</w:t>
      </w:r>
      <w:r>
        <w:tab/>
      </w:r>
      <w:r>
        <w:fldChar w:fldCharType="begin"/>
      </w:r>
      <w:r>
        <w:instrText>PAGEREF __RefHeading___58 \h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 w14:paraId="A6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"__RefHeading___59"</w:instrText>
      </w:r>
      <w:r>
        <w:fldChar w:fldCharType="separate"/>
      </w:r>
      <w:r>
        <w:t>4.7.2. Цифровизация государственного и муниципального управления</w:t>
      </w:r>
      <w:r>
        <w:tab/>
      </w:r>
      <w:r>
        <w:fldChar w:fldCharType="begin"/>
      </w:r>
      <w:r>
        <w:instrText>PAGEREF __RefHeading___59 \h</w:instrText>
      </w:r>
      <w:r>
        <w:fldChar w:fldCharType="separate"/>
      </w:r>
      <w:r>
        <w:t>68</w:t>
      </w:r>
      <w:r>
        <w:fldChar w:fldCharType="end"/>
      </w:r>
      <w:r>
        <w:fldChar w:fldCharType="end"/>
      </w:r>
    </w:p>
    <w:p w14:paraId="A7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"__RefHeading___60"</w:instrText>
      </w:r>
      <w:r>
        <w:fldChar w:fldCharType="separate"/>
      </w:r>
      <w:r>
        <w:t>5. Система управления</w:t>
      </w:r>
      <w:r>
        <w:tab/>
      </w:r>
      <w:r>
        <w:fldChar w:fldCharType="begin"/>
      </w:r>
      <w:r>
        <w:instrText>PAGEREF __RefHeading___60 \h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 w14:paraId="A8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"__RefHeading___61"</w:instrText>
      </w:r>
      <w:r>
        <w:fldChar w:fldCharType="separate"/>
      </w:r>
      <w:r>
        <w:t>и ресурсное обеспечение реализации Стратегии</w:t>
      </w:r>
      <w:r>
        <w:tab/>
      </w:r>
      <w:r>
        <w:fldChar w:fldCharType="begin"/>
      </w:r>
      <w:r>
        <w:instrText>PAGEREF __RefHeading___61 \h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 w14:paraId="A9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"__RefHeading___62"</w:instrText>
      </w:r>
      <w:r>
        <w:fldChar w:fldCharType="separate"/>
      </w:r>
      <w:r>
        <w:t>5.1. Политика в сфере</w:t>
      </w:r>
      <w:r>
        <w:tab/>
      </w:r>
      <w:r>
        <w:fldChar w:fldCharType="begin"/>
      </w:r>
      <w:r>
        <w:instrText>PAGEREF __RefHeading___62 \h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 w14:paraId="AA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"__RefHeading___63"</w:instrText>
      </w:r>
      <w:r>
        <w:fldChar w:fldCharType="separate"/>
      </w:r>
      <w:r>
        <w:t>муниципального управления</w:t>
      </w:r>
      <w:r>
        <w:tab/>
      </w:r>
      <w:r>
        <w:fldChar w:fldCharType="begin"/>
      </w:r>
      <w:r>
        <w:instrText>PAGEREF __RefHeading___63 \h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 w14:paraId="AB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"__RefHeading___64"</w:instrText>
      </w:r>
      <w:r>
        <w:fldChar w:fldCharType="separate"/>
      </w:r>
      <w:r>
        <w:t>5.2. Кадровая политика в муниципальном управлении</w:t>
      </w:r>
      <w:r>
        <w:tab/>
      </w:r>
      <w:r>
        <w:fldChar w:fldCharType="begin"/>
      </w:r>
      <w:r>
        <w:instrText>PAGEREF __RefHeading___64 \h</w:instrText>
      </w:r>
      <w:r>
        <w:fldChar w:fldCharType="separate"/>
      </w:r>
      <w:r>
        <w:t>70</w:t>
      </w:r>
      <w:r>
        <w:fldChar w:fldCharType="end"/>
      </w:r>
      <w:r>
        <w:fldChar w:fldCharType="end"/>
      </w:r>
    </w:p>
    <w:p w14:paraId="AC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"__RefHeading___65"</w:instrText>
      </w:r>
      <w:r>
        <w:fldChar w:fldCharType="separate"/>
      </w:r>
      <w:r>
        <w:t>5.3. Финансовая и бюджетная политика</w:t>
      </w:r>
      <w:r>
        <w:tab/>
      </w:r>
      <w:r>
        <w:fldChar w:fldCharType="begin"/>
      </w:r>
      <w:r>
        <w:instrText>PAGEREF __RefHeading___65 \h</w:instrText>
      </w:r>
      <w:r>
        <w:fldChar w:fldCharType="separate"/>
      </w:r>
      <w:r>
        <w:t>71</w:t>
      </w:r>
      <w:r>
        <w:fldChar w:fldCharType="end"/>
      </w:r>
      <w:r>
        <w:fldChar w:fldCharType="end"/>
      </w:r>
    </w:p>
    <w:p w14:paraId="AD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"__RefHeading___66"</w:instrText>
      </w:r>
      <w:r>
        <w:fldChar w:fldCharType="separate"/>
      </w:r>
      <w:r>
        <w:t>5.4. Ресурсы и инструменты</w:t>
      </w:r>
      <w:r>
        <w:tab/>
      </w:r>
      <w:r>
        <w:fldChar w:fldCharType="begin"/>
      </w:r>
      <w:r>
        <w:instrText>PAGEREF __RefHeading___66 \h</w:instrText>
      </w:r>
      <w:r>
        <w:fldChar w:fldCharType="separate"/>
      </w:r>
      <w:r>
        <w:t>72</w:t>
      </w:r>
      <w:r>
        <w:fldChar w:fldCharType="end"/>
      </w:r>
      <w:r>
        <w:fldChar w:fldCharType="end"/>
      </w:r>
    </w:p>
    <w:p w14:paraId="AE000000">
      <w:pPr>
        <w:pStyle w:val="Style_3"/>
        <w:tabs>
          <w:tab w:leader="dot" w:pos="9638" w:val="right"/>
        </w:tabs>
        <w:ind/>
      </w:pPr>
      <w:r>
        <w:fldChar w:fldCharType="begin"/>
      </w:r>
      <w:r>
        <w:instrText>HYPERLINK \l "__RefHeading___67"</w:instrText>
      </w:r>
      <w:r>
        <w:fldChar w:fldCharType="separate"/>
      </w:r>
      <w:r>
        <w:t>5.5. Мониторинг реализации Стратегии</w:t>
      </w:r>
      <w:r>
        <w:tab/>
      </w:r>
      <w:r>
        <w:fldChar w:fldCharType="begin"/>
      </w:r>
      <w:r>
        <w:instrText>PAGEREF __RefHeading___67 \h</w:instrText>
      </w:r>
      <w:r>
        <w:fldChar w:fldCharType="separate"/>
      </w:r>
      <w:r>
        <w:t>74</w:t>
      </w:r>
      <w:r>
        <w:fldChar w:fldCharType="end"/>
      </w:r>
      <w:r>
        <w:fldChar w:fldCharType="end"/>
      </w:r>
    </w:p>
    <w:p w14:paraId="AF000000">
      <w:pPr>
        <w:pStyle w:val="Style_5"/>
        <w:tabs>
          <w:tab w:leader="dot" w:pos="9638" w:val="right"/>
        </w:tabs>
        <w:ind/>
      </w:pPr>
      <w:r>
        <w:fldChar w:fldCharType="begin"/>
      </w:r>
      <w:r>
        <w:instrText>HYPERLINK \l "__RefHeading___68"</w:instrText>
      </w:r>
      <w:r>
        <w:fldChar w:fldCharType="separate"/>
      </w:r>
      <w:r>
        <w:t>Приложение № 1</w:t>
      </w:r>
      <w:r>
        <w:tab/>
      </w:r>
      <w:r>
        <w:fldChar w:fldCharType="begin"/>
      </w:r>
      <w:r>
        <w:instrText>PAGEREF __RefHeading___68 \h</w:instrText>
      </w:r>
      <w:r>
        <w:fldChar w:fldCharType="separate"/>
      </w:r>
      <w:r>
        <w:t>76</w:t>
      </w:r>
      <w:r>
        <w:fldChar w:fldCharType="end"/>
      </w:r>
      <w:r>
        <w:fldChar w:fldCharType="end"/>
      </w:r>
    </w:p>
    <w:p w14:paraId="B0000000">
      <w:pPr>
        <w:pStyle w:val="Style_5"/>
        <w:tabs>
          <w:tab w:leader="dot" w:pos="9638" w:val="right"/>
        </w:tabs>
        <w:ind/>
      </w:pPr>
      <w:r>
        <w:fldChar w:fldCharType="begin"/>
      </w:r>
      <w:r>
        <w:instrText>HYPERLINK \l "__RefHeading___69"</w:instrText>
      </w:r>
      <w:r>
        <w:fldChar w:fldCharType="separate"/>
      </w:r>
      <w:r>
        <w:t>Приложение № 2</w:t>
      </w:r>
      <w:r>
        <w:tab/>
      </w:r>
      <w:r>
        <w:fldChar w:fldCharType="begin"/>
      </w:r>
      <w:r>
        <w:instrText>PAGEREF __RefHeading___69 \h</w:instrText>
      </w:r>
      <w:r>
        <w:fldChar w:fldCharType="separate"/>
      </w:r>
      <w:r>
        <w:t>83</w:t>
      </w:r>
      <w:r>
        <w:fldChar w:fldCharType="end"/>
      </w:r>
      <w:r>
        <w:fldChar w:fldCharType="end"/>
      </w:r>
    </w:p>
    <w:p w14:paraId="B1000000">
      <w:pPr>
        <w:pStyle w:val="Style_5"/>
        <w:tabs>
          <w:tab w:leader="dot" w:pos="9638" w:val="right"/>
        </w:tabs>
        <w:ind/>
      </w:pPr>
      <w:r>
        <w:fldChar w:fldCharType="begin"/>
      </w:r>
      <w:r>
        <w:instrText>HYPERLINK \l "__RefHeading___70"</w:instrText>
      </w:r>
      <w:r>
        <w:fldChar w:fldCharType="separate"/>
      </w:r>
      <w:r>
        <w:t>Приложение № 3</w:t>
      </w:r>
      <w:r>
        <w:tab/>
      </w:r>
      <w:r>
        <w:fldChar w:fldCharType="begin"/>
      </w:r>
      <w:r>
        <w:instrText>PAGEREF __RefHeading___70 \h</w:instrText>
      </w:r>
      <w:r>
        <w:fldChar w:fldCharType="separate"/>
      </w:r>
      <w:r>
        <w:t>84</w:t>
      </w:r>
      <w:r>
        <w:fldChar w:fldCharType="end"/>
      </w:r>
      <w:r>
        <w:fldChar w:fldCharType="end"/>
      </w:r>
    </w:p>
    <w:p w14:paraId="B2000000">
      <w:pPr>
        <w:pStyle w:val="Style_5"/>
        <w:tabs>
          <w:tab w:leader="dot" w:pos="9638" w:val="right"/>
        </w:tabs>
        <w:ind/>
      </w:pPr>
      <w:r>
        <w:fldChar w:fldCharType="begin"/>
      </w:r>
      <w:r>
        <w:instrText>HYPERLINK \l "__RefHeading___71"</w:instrText>
      </w:r>
      <w:r>
        <w:fldChar w:fldCharType="separate"/>
      </w:r>
      <w:r>
        <w:t>Приложение № 4</w:t>
      </w:r>
      <w:r>
        <w:tab/>
      </w:r>
      <w:r>
        <w:fldChar w:fldCharType="begin"/>
      </w:r>
      <w:r>
        <w:instrText>PAGEREF __RefHeading___71 \h</w:instrText>
      </w:r>
      <w:r>
        <w:fldChar w:fldCharType="separate"/>
      </w:r>
      <w:r>
        <w:t>86</w:t>
      </w:r>
      <w:r>
        <w:fldChar w:fldCharType="end"/>
      </w:r>
      <w:r>
        <w:fldChar w:fldCharType="end"/>
      </w:r>
    </w:p>
    <w:p w14:paraId="B3000000">
      <w:pPr>
        <w:pStyle w:val="Style_5"/>
        <w:tabs>
          <w:tab w:leader="dot" w:pos="9638" w:val="right"/>
        </w:tabs>
        <w:ind/>
      </w:pPr>
      <w:r>
        <w:fldChar w:fldCharType="begin"/>
      </w:r>
      <w:r>
        <w:instrText>HYPERLINK \l "__RefHeading___72"</w:instrText>
      </w:r>
      <w:r>
        <w:fldChar w:fldCharType="separate"/>
      </w:r>
      <w:r>
        <w:t>Приложение № 5</w:t>
      </w:r>
      <w:r>
        <w:tab/>
      </w:r>
      <w:r>
        <w:fldChar w:fldCharType="begin"/>
      </w:r>
      <w:r>
        <w:instrText>PAGEREF __RefHeading___72 \h</w:instrText>
      </w:r>
      <w:r>
        <w:fldChar w:fldCharType="separate"/>
      </w:r>
      <w:r>
        <w:t>87</w:t>
      </w:r>
      <w:r>
        <w:fldChar w:fldCharType="end"/>
      </w:r>
      <w:r>
        <w:fldChar w:fldCharType="end"/>
      </w:r>
    </w:p>
    <w:p w14:paraId="B4000000">
      <w:pPr>
        <w:pStyle w:val="Style_5"/>
        <w:tabs>
          <w:tab w:leader="dot" w:pos="9638" w:val="right"/>
        </w:tabs>
        <w:ind/>
      </w:pPr>
      <w:r>
        <w:fldChar w:fldCharType="begin"/>
      </w:r>
      <w:r>
        <w:instrText>HYPERLINK \l "__RefHeading___73"</w:instrText>
      </w:r>
      <w:r>
        <w:fldChar w:fldCharType="separate"/>
      </w:r>
      <w:r>
        <w:t>Приложение № 6</w:t>
      </w:r>
      <w:r>
        <w:tab/>
      </w:r>
      <w:r>
        <w:fldChar w:fldCharType="begin"/>
      </w:r>
      <w:r>
        <w:instrText>PAGEREF __RefHeading___73 \h</w:instrText>
      </w:r>
      <w:r>
        <w:fldChar w:fldCharType="separate"/>
      </w:r>
      <w:r>
        <w:t>88</w:t>
      </w:r>
      <w:r>
        <w:fldChar w:fldCharType="end"/>
      </w:r>
      <w:r>
        <w:fldChar w:fldCharType="end"/>
      </w:r>
    </w:p>
    <w:p w14:paraId="B5000000">
      <w:pPr>
        <w:pStyle w:val="Style_5"/>
        <w:tabs>
          <w:tab w:leader="dot" w:pos="9638" w:val="right"/>
        </w:tabs>
        <w:ind/>
      </w:pPr>
      <w:r>
        <w:fldChar w:fldCharType="begin"/>
      </w:r>
      <w:r>
        <w:instrText>HYPERLINK \l "__RefHeading___74"</w:instrText>
      </w:r>
      <w:r>
        <w:fldChar w:fldCharType="separate"/>
      </w:r>
      <w:r>
        <w:t>Приложение № 7</w:t>
      </w:r>
      <w:r>
        <w:tab/>
      </w:r>
      <w:r>
        <w:fldChar w:fldCharType="begin"/>
      </w:r>
      <w:r>
        <w:instrText>PAGEREF __RefHeading___74 \h</w:instrText>
      </w:r>
      <w:r>
        <w:fldChar w:fldCharType="separate"/>
      </w:r>
      <w:r>
        <w:t>92</w:t>
      </w:r>
      <w:r>
        <w:fldChar w:fldCharType="end"/>
      </w:r>
      <w:r>
        <w:fldChar w:fldCharType="end"/>
      </w:r>
    </w:p>
    <w:p w14:paraId="B6000000">
      <w:pPr>
        <w:pStyle w:val="Style_4"/>
        <w:tabs>
          <w:tab w:leader="dot" w:pos="9638" w:val="right"/>
        </w:tabs>
        <w:ind/>
      </w:pPr>
      <w:r>
        <w:fldChar w:fldCharType="begin"/>
      </w:r>
      <w:r>
        <w:instrText>HYPERLINK \l "__RefHeading___75"</w:instrText>
      </w:r>
      <w:r>
        <w:fldChar w:fldCharType="separate"/>
      </w:r>
      <w:r>
        <w:t>Приложение № 8</w:t>
      </w:r>
      <w:r>
        <w:tab/>
      </w:r>
      <w:r>
        <w:fldChar w:fldCharType="begin"/>
      </w:r>
      <w:r>
        <w:instrText>PAGEREF __RefHeading___75 \h</w:instrText>
      </w:r>
      <w:r>
        <w:fldChar w:fldCharType="separate"/>
      </w:r>
      <w:r>
        <w:t>93</w:t>
      </w:r>
      <w:r>
        <w:fldChar w:fldCharType="end"/>
      </w:r>
      <w:r>
        <w:fldChar w:fldCharType="end"/>
      </w:r>
    </w:p>
    <w:p>
      <w:r>
        <w:fldChar w:fldCharType="end"/>
      </w:r>
    </w:p>
    <w:p w14:paraId="B8000000">
      <w:r>
        <w:br w:type="page"/>
      </w:r>
    </w:p>
    <w:p w14:paraId="B9000000">
      <w:bookmarkStart w:id="1" w:name="__RefHeading___1"/>
      <w:bookmarkEnd w:id="1"/>
      <w:pPr>
        <w:pStyle w:val="Style_6"/>
      </w:pPr>
      <w:r>
        <w:t>1. Введение</w:t>
      </w:r>
    </w:p>
    <w:p w14:paraId="BA00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Стратегия социально-экономического развития Обливского</w:t>
      </w:r>
      <w:r>
        <w:rPr>
          <w:rFonts w:ascii="Times New Roman" w:hAnsi="Times New Roman"/>
          <w:sz w:val="28"/>
          <w:highlight w:val="white"/>
        </w:rPr>
        <w:t xml:space="preserve"> района</w:t>
      </w:r>
      <w:r>
        <w:br/>
      </w:r>
      <w:r>
        <w:rPr>
          <w:rFonts w:ascii="Times New Roman" w:hAnsi="Times New Roman"/>
          <w:sz w:val="28"/>
        </w:rPr>
        <w:t xml:space="preserve"> до 2030 года (далее также – Стратегия) разработана в соответствии </w:t>
      </w:r>
      <w:r>
        <w:br/>
      </w:r>
      <w:r>
        <w:rPr>
          <w:rFonts w:ascii="Times New Roman" w:hAnsi="Times New Roman"/>
          <w:sz w:val="28"/>
        </w:rPr>
        <w:t xml:space="preserve">с Федеральным законом от 28.06.2014 № 172-ФЗ «О стратегическом планировании в Российской Федерации», Областным законом Ростовской области от 20.10.2015 № 416-ЗС «О стратегическом планировании в Ростовской области», </w:t>
      </w:r>
      <w:r>
        <w:rPr>
          <w:rFonts w:ascii="Times New Roman" w:hAnsi="Times New Roman"/>
          <w:color w:val="000000"/>
          <w:sz w:val="28"/>
        </w:rPr>
        <w:t>постановлением Администрации Обливского района от 22.12.2015 № 815 "</w:t>
      </w:r>
      <w:r>
        <w:rPr>
          <w:rFonts w:ascii="Times New Roman" w:hAnsi="Times New Roman"/>
          <w:color w:val="000000"/>
          <w:sz w:val="28"/>
        </w:rPr>
        <w:t>Об утверждении Порядка разработки, корректировки мониторинга и контроля стратегии социально-экономического развития Обливского района и Плана мероприятий по реализации стратегии социально-экономического развития Обливского района»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является ключевым документом стратегического планирования </w:t>
      </w:r>
      <w:r>
        <w:rPr>
          <w:rFonts w:ascii="Times New Roman" w:hAnsi="Times New Roman"/>
          <w:sz w:val="28"/>
        </w:rPr>
        <w:t xml:space="preserve">на муниципальном уровне, который опирается на документы стратегического планирования, разрабатываемые в рамках прогнозирования на федеральном и региональном  уровнях, включая Прогноз научно-технологического развития Российской Федерации на период до 2030 года, Прогноз социально-экономического развития Российской Федерации на период до 2036 года, Бюджетный прогноз Российской Федерации на период до 2036 года, Долгосрочный прогноз социально-экономического развития Ростовской области на период до 2036 года, Прогноз социально-экономического развития Ростовской области на 2026 – 2028 годы, Бюджетный прогноз Ростовской области на период 2023 – 2036 годов. Основные положения Стратегии также основываются на документах стратегического планирования, разрабатываемых в рамках целеполагания на федеральном и региональном уровнях (Федеральный закон от 28.12.2024 № 523-ФЗ «О технологической политике в Российской Федерации и о внесении изменений в отдельные законодательные акты Российской Федерации», Указ Президента Российской Федерации от 16.01.2017 № 13 «Об утверждении Основ государственной политики регионального </w:t>
      </w:r>
      <w:r>
        <w:rPr>
          <w:rFonts w:ascii="Times New Roman" w:hAnsi="Times New Roman"/>
          <w:sz w:val="28"/>
        </w:rPr>
        <w:t xml:space="preserve">развития Российской Федерации на период до 2025 года», Указ Президента Российской Федерации от 02.07.2021 № 400 «О Стратегии национальной безопасности Российской Федерации», Указ Президента Российской Федерации от 08.11.2021 № 633 «Об утверждении Основ государственной политики в сфере стратегического планирования в Российской Федерации», Указ Президента Российской Федерации от 28.02.2024 №1 45 </w:t>
      </w:r>
      <w:r>
        <w:rPr>
          <w:rFonts w:ascii="Times New Roman" w:hAnsi="Times New Roman"/>
          <w:sz w:val="28"/>
        </w:rPr>
        <w:t xml:space="preserve">«Об утверждении Стратегии научно-технологического развития Российской Федерации», Указ Президента Российской Федерации от 07.05.2024 № 309 </w:t>
      </w:r>
      <w:r>
        <w:rPr>
          <w:rFonts w:ascii="Times New Roman" w:hAnsi="Times New Roman"/>
          <w:sz w:val="28"/>
        </w:rPr>
        <w:t xml:space="preserve">«О национальных целях развития Российской Федерации на период </w:t>
      </w:r>
      <w:r>
        <w:br/>
      </w:r>
      <w:r>
        <w:rPr>
          <w:rFonts w:ascii="Times New Roman" w:hAnsi="Times New Roman"/>
          <w:sz w:val="28"/>
        </w:rPr>
        <w:t>до 2030 года и на перспективу до 2036 года», Указ Президента Российской Федерации от 18.06.2024 № 529 «Об утверждении приоритетных направлений научно-технологического развития и перечня важнейших наукоемких технологий», Указ Президента Российской Федерации от 28.11.2024 № 1014 «Об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Федерации»,</w:t>
      </w:r>
      <w:r>
        <w:t xml:space="preserve"> </w:t>
      </w:r>
      <w:r>
        <w:rPr>
          <w:rFonts w:ascii="Times New Roman" w:hAnsi="Times New Roman"/>
          <w:sz w:val="28"/>
        </w:rPr>
        <w:t xml:space="preserve">Указ Президента РФ от 28 апреля 2008 г. </w:t>
      </w:r>
      <w:r>
        <w:rPr>
          <w:rFonts w:ascii="Times New Roman" w:hAnsi="Times New Roman"/>
          <w:sz w:val="28"/>
        </w:rPr>
        <w:t>№ 607 «</w:t>
      </w:r>
      <w:r>
        <w:rPr>
          <w:rFonts w:ascii="Times New Roman" w:hAnsi="Times New Roman"/>
          <w:sz w:val="28"/>
        </w:rPr>
        <w:t xml:space="preserve">Об оценке эффективности деятельности органов местного самоуправления муниципальных, муниципальных, городских </w:t>
      </w:r>
      <w:r>
        <w:rPr>
          <w:rFonts w:ascii="Times New Roman" w:hAnsi="Times New Roman"/>
          <w:sz w:val="28"/>
        </w:rPr>
        <w:t>округов и муниципальных районов»,</w:t>
      </w:r>
      <w:r>
        <w:rPr>
          <w:rFonts w:ascii="Times New Roman" w:hAnsi="Times New Roman"/>
          <w:sz w:val="28"/>
        </w:rPr>
        <w:t xml:space="preserve"> послание Президента Российской Федерации Федеральному Собранию Российской Федерации (от 29.02.2024 б/н), Концепция технологического развития на период до 2030 года, утвержденная распоряжением Правительства Российской Федерации от 20.05.2023 № 1315-р, Стратегия пространственного развития Российской Федерации на период до 2030 года с прогнозом до 2036 года, утвержденная распоряжением Правительства Российской Федерации от 28.12.2024 № 4146-р, </w:t>
      </w:r>
      <w:r>
        <w:rPr>
          <w:rFonts w:ascii="Times New Roman" w:hAnsi="Times New Roman"/>
          <w:sz w:val="28"/>
        </w:rPr>
        <w:t xml:space="preserve">постановления Правительства Ростовской области от 26.12.2018 № 864 «Об утверждении </w:t>
      </w:r>
      <w:r>
        <w:rPr>
          <w:rFonts w:ascii="Times New Roman" w:hAnsi="Times New Roman"/>
          <w:sz w:val="28"/>
        </w:rPr>
        <w:t>Стратегии</w:t>
      </w:r>
      <w:r>
        <w:rPr>
          <w:rFonts w:ascii="Times New Roman" w:hAnsi="Times New Roman"/>
          <w:sz w:val="28"/>
        </w:rPr>
        <w:t xml:space="preserve"> социально-экономического развития Ростовской области до 2030 года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).</w:t>
      </w:r>
    </w:p>
    <w:p w14:paraId="BB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Являясь основным элементом системы муниципального целеполагания, Стратегия также опирается на документы стратегического планирования, разрабатываемые в рамках прогнозирования на муниципальном уровне, такие как Долгосрочный прогноз социально-экономического развития Обливского района на период до 2036 года, Прогноз социально-экономического развития Обливского района на 2026 – 2028 годы, Бюджетный прогноз Обливского района на период 2023 – 2036 годов.</w:t>
      </w:r>
    </w:p>
    <w:p w14:paraId="BC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Перечень документов стратегического планирования на федеральном и региональном уровнях, документов стратегического развития Обливского района, </w:t>
      </w:r>
      <w:r>
        <w:rPr>
          <w:rFonts w:ascii="Times New Roman" w:hAnsi="Times New Roman"/>
          <w:sz w:val="28"/>
        </w:rPr>
        <w:t>муниципальных проектов</w:t>
      </w:r>
      <w:r>
        <w:rPr>
          <w:rFonts w:ascii="Times New Roman" w:hAnsi="Times New Roman"/>
          <w:sz w:val="28"/>
        </w:rPr>
        <w:t xml:space="preserve"> приведен</w:t>
      </w:r>
      <w:r>
        <w:rPr>
          <w:rFonts w:ascii="Times New Roman" w:hAnsi="Times New Roman"/>
          <w:color w:val="CF543F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приложении № 1 к Стратегии.</w:t>
      </w:r>
    </w:p>
    <w:p w14:paraId="BD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Система целеполагания и механизм реализации Стратегии синхронизированы с Единым планом по достижению национальных целей развития Российской Федерации на период до 2030 года и на плановый период до 2036 года. </w:t>
      </w:r>
    </w:p>
    <w:p w14:paraId="BE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Основные приоритетные направления социально-экономического развития, определенные Стратегией, должны быть раскрыты </w:t>
      </w:r>
      <w:r>
        <w:br/>
      </w:r>
      <w:r>
        <w:rPr>
          <w:rFonts w:ascii="Times New Roman" w:hAnsi="Times New Roman"/>
          <w:sz w:val="28"/>
        </w:rPr>
        <w:t xml:space="preserve">и конкретизированы в следующих документах стратегического планирования, </w:t>
      </w:r>
      <w:r>
        <w:rPr>
          <w:rFonts w:ascii="Times New Roman" w:hAnsi="Times New Roman"/>
          <w:sz w:val="28"/>
        </w:rPr>
        <w:t>разрабатываемых в рамках планирования и программирования:</w:t>
      </w:r>
    </w:p>
    <w:p w14:paraId="BF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мероприятий по реализации Стратегии социально-экономического развития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;</w:t>
      </w:r>
    </w:p>
    <w:p w14:paraId="C0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муниципальные</w:t>
      </w:r>
      <w:r>
        <w:rPr>
          <w:rFonts w:ascii="Times New Roman" w:hAnsi="Times New Roman"/>
          <w:sz w:val="28"/>
        </w:rPr>
        <w:t xml:space="preserve"> программы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;</w:t>
      </w:r>
    </w:p>
    <w:p w14:paraId="C1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муниципальные</w:t>
      </w:r>
      <w:r>
        <w:rPr>
          <w:rFonts w:ascii="Times New Roman" w:hAnsi="Times New Roman"/>
          <w:sz w:val="28"/>
        </w:rPr>
        <w:t xml:space="preserve"> проекты;</w:t>
      </w:r>
    </w:p>
    <w:p w14:paraId="C2000000">
      <w:pPr>
        <w:widowControl w:val="0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схема территориального планирования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.</w:t>
      </w:r>
    </w:p>
    <w:p w14:paraId="C300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Механизм реализации Стратегии Обливского</w:t>
      </w:r>
      <w:r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t>основан на решении приоритетных задач и реализации стратегических проектных инициатив</w:t>
      </w:r>
      <w:r>
        <w:rPr>
          <w:rFonts w:ascii="Times New Roman" w:hAnsi="Times New Roman"/>
          <w:sz w:val="28"/>
        </w:rPr>
        <w:t xml:space="preserve"> (</w:t>
      </w:r>
      <w:r>
        <w:rPr>
          <w:rFonts w:ascii="Times New Roman" w:hAnsi="Times New Roman"/>
          <w:color w:val="000000"/>
          <w:sz w:val="28"/>
        </w:rPr>
        <w:t>перечень приведен в приложени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№ 2 к Стратегии</w:t>
      </w:r>
      <w:r>
        <w:rPr>
          <w:rFonts w:ascii="Times New Roman" w:hAnsi="Times New Roman"/>
          <w:sz w:val="28"/>
        </w:rPr>
        <w:t>), а также ключевых отраслей социальной сферы Обливского района.</w:t>
      </w:r>
    </w:p>
    <w:p w14:paraId="C400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C500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C6000000">
      <w:pPr>
        <w:pStyle w:val="Style_7"/>
        <w:widowControl w:val="0"/>
        <w:spacing w:after="0" w:before="0" w:line="240" w:lineRule="auto"/>
        <w:ind/>
        <w:jc w:val="center"/>
        <w:rPr>
          <w:rFonts w:ascii="Times New Roman" w:hAnsi="Times New Roman"/>
          <w:b w:val="0"/>
          <w:color w:val="CF543F"/>
          <w:sz w:val="28"/>
        </w:rPr>
      </w:pPr>
    </w:p>
    <w:p w14:paraId="C7000000">
      <w:pPr>
        <w:pStyle w:val="Style_7"/>
        <w:widowControl w:val="0"/>
        <w:spacing w:after="0" w:before="0" w:line="240" w:lineRule="auto"/>
        <w:ind/>
        <w:jc w:val="center"/>
        <w:rPr>
          <w:rFonts w:ascii="Times New Roman" w:hAnsi="Times New Roman"/>
          <w:b w:val="0"/>
          <w:color w:val="CF543F"/>
          <w:sz w:val="28"/>
        </w:rPr>
      </w:pPr>
    </w:p>
    <w:p w14:paraId="C8000000">
      <w:pPr>
        <w:pStyle w:val="Style_7"/>
        <w:widowControl w:val="0"/>
        <w:spacing w:after="0" w:before="0" w:line="240" w:lineRule="auto"/>
        <w:ind/>
        <w:jc w:val="center"/>
        <w:rPr>
          <w:rFonts w:ascii="Times New Roman" w:hAnsi="Times New Roman"/>
          <w:b w:val="0"/>
          <w:color w:val="CF543F"/>
          <w:sz w:val="28"/>
        </w:rPr>
      </w:pPr>
    </w:p>
    <w:p w14:paraId="C9000000">
      <w:bookmarkStart w:id="2" w:name="__RefHeading___2"/>
      <w:bookmarkEnd w:id="2"/>
      <w:pPr>
        <w:pStyle w:val="Style_6"/>
      </w:pPr>
      <w:r>
        <w:t xml:space="preserve">2. Анализ состояния и перспектив </w:t>
      </w:r>
    </w:p>
    <w:p w14:paraId="CA000000">
      <w:bookmarkStart w:id="3" w:name="__RefHeading___3"/>
      <w:bookmarkEnd w:id="3"/>
      <w:pPr>
        <w:pStyle w:val="Style_6"/>
      </w:pPr>
      <w:r>
        <w:t xml:space="preserve">социально-экономического развития Обливского района </w:t>
      </w:r>
    </w:p>
    <w:p w14:paraId="CB000000">
      <w:bookmarkStart w:id="4" w:name="__RefHeading___4"/>
      <w:bookmarkEnd w:id="4"/>
      <w:pPr>
        <w:pStyle w:val="Style_8"/>
        <w:widowControl w:val="0"/>
        <w:spacing w:after="0" w:before="0" w:line="276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2.1. Административно-географические сведения</w:t>
      </w:r>
    </w:p>
    <w:p w14:paraId="CC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Обливский район расположен в северо-восточной части области и граничит на севере с Советским районом, на востоке и юге с районами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color="000000" w:val="none"/>
        </w:rPr>
        <w:fldChar w:fldCharType="begin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color="000000" w:val="none"/>
        </w:rPr>
        <w:instrText>HYPERLINK "https://ru.ruwiki.ru/wiki/%D0%92%D0%BE%D0%BB%D0%B3%D0%BE%D0%B3%D1%80%D0%B0%D0%B4%D1%81%D0%BA%D0%B0%D1%8F_%D0%BE%D0%B1%D0%BB%D0%B0%D1%81%D1%82%D1%8C"</w:instrTex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color="000000" w:val="none"/>
        </w:rPr>
        <w:fldChar w:fldCharType="separate"/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color="000000" w:val="none"/>
        </w:rPr>
        <w:t>Волгоградской области</w:t>
      </w:r>
      <w:r>
        <w:rPr>
          <w:rFonts w:ascii="Times New Roman" w:hAnsi="Times New Roman"/>
          <w:b w:val="0"/>
          <w:i w:val="0"/>
          <w:caps w:val="0"/>
          <w:strike w:val="0"/>
          <w:color w:val="000000"/>
          <w:spacing w:val="0"/>
          <w:sz w:val="28"/>
          <w:highlight w:val="white"/>
          <w:u w:color="000000" w:val="none"/>
        </w:rPr>
        <w:fldChar w:fldCharType="end"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  <w:u w:val="none"/>
        </w:rPr>
        <w:t>и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 на западе с Морозовским и Милютинским районами.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Расстояние до Ростова-на-Дону — 360 км.</w:t>
      </w:r>
    </w:p>
    <w:p w14:paraId="CD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Климат района умеренно континентальный с большой амплитудой среднемесячных температур. Наиболее характерные черты климата: жаркое лето и сравнительно холодная зима, частые ветры. Основные водные артерии — реки Чир, Березовая и Машка.</w:t>
      </w:r>
    </w:p>
    <w:p w14:paraId="CE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1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Станица Обливская</w:t>
      </w: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 — административный центр района. Также это железнодорожная станция Приволжской железной дороги, расположенная на ветке, соединяющей Ростов-на-Дону и Волгоград.</w:t>
      </w:r>
    </w:p>
    <w:p w14:paraId="CF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Площадь территории района — 2013,5 км²</w:t>
      </w: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. </w:t>
      </w:r>
    </w:p>
    <w:p w14:paraId="D0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caps w:val="0"/>
          <w:color w:val="000000"/>
          <w:spacing w:val="0"/>
          <w:sz w:val="28"/>
          <w:highlight w:val="white"/>
        </w:rPr>
        <w:t>Климат умеренно-континентальный с большой амплитудой среднемесячных температур. Характерные черты: жаркое лето и сравнительно холодная зима, частые ветры.</w:t>
      </w:r>
    </w:p>
    <w:p w14:paraId="D1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Автомагистрали: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 xml:space="preserve">федеральная трасса «Ростов-на-Дону — Волгоград», автодорога областного значения «Обливская — Советская — Боковская — Каргинская» (протяжённость на территории района — 34 км).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Дороги районного значения: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15 дорог общей протяжённостью 197 км.</w:t>
      </w:r>
    </w:p>
    <w:p w14:paraId="D2000000">
      <w:bookmarkStart w:id="5" w:name="__RefHeading___5"/>
      <w:bookmarkEnd w:id="5"/>
      <w:pPr>
        <w:pStyle w:val="Style_8"/>
        <w:widowControl w:val="0"/>
        <w:spacing w:before="0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2.2. Исторические сведения</w:t>
      </w:r>
    </w:p>
    <w:p w14:paraId="D3000000">
      <w:pPr>
        <w:widowControl w:val="0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D4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История Обливской насчитывает уже более двух с половино</w:t>
      </w:r>
      <w:r>
        <w:rPr>
          <w:rFonts w:ascii="Times New Roman" w:hAnsi="Times New Roman"/>
          <w:color w:val="000000"/>
          <w:sz w:val="28"/>
        </w:rPr>
        <w:t>й столетий.</w:t>
      </w:r>
      <w:r>
        <w:rPr>
          <w:rFonts w:ascii="Times New Roman" w:hAnsi="Times New Roman"/>
          <w:color w:val="000000"/>
          <w:sz w:val="28"/>
        </w:rPr>
        <w:t> Так, в черновых набросках, собранных историком краеведом Х.И. Поповым указано, что хутор Обливы при реке Чир начал заселяться с </w:t>
      </w:r>
      <w:r>
        <w:rPr>
          <w:rFonts w:ascii="Times New Roman" w:hAnsi="Times New Roman"/>
          <w:color w:val="000000"/>
          <w:sz w:val="28"/>
        </w:rPr>
        <w:t>1744 года</w:t>
      </w:r>
      <w:r>
        <w:rPr>
          <w:rFonts w:ascii="Times New Roman" w:hAnsi="Times New Roman"/>
          <w:color w:val="000000"/>
          <w:sz w:val="28"/>
        </w:rPr>
        <w:t xml:space="preserve">. С одной стороны его окружала река Чир с другой стороны многочисленные озера. Во время весеннего разлива хутор оказывался отрезанным от суши, и часто затапливался водой. Отсюда и пошло название этого казачьего хутора – Обливы, </w:t>
      </w:r>
      <w:r>
        <w:rPr>
          <w:rFonts w:ascii="Times New Roman" w:hAnsi="Times New Roman"/>
          <w:color w:val="000000"/>
          <w:sz w:val="28"/>
        </w:rPr>
        <w:t>в последствии</w:t>
      </w:r>
      <w:r>
        <w:rPr>
          <w:rFonts w:ascii="Times New Roman" w:hAnsi="Times New Roman"/>
          <w:color w:val="000000"/>
          <w:sz w:val="28"/>
        </w:rPr>
        <w:t xml:space="preserve"> хутор перенесли на более высокое место, но название сохранилось и живет до сих пор.</w:t>
      </w:r>
    </w:p>
    <w:p w14:paraId="D5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>
        <w:rPr>
          <w:rFonts w:ascii="Times New Roman" w:hAnsi="Times New Roman"/>
          <w:color w:val="000000"/>
          <w:sz w:val="28"/>
        </w:rPr>
        <w:t>Известно, что</w:t>
      </w:r>
      <w:r>
        <w:rPr>
          <w:rFonts w:ascii="Times New Roman" w:hAnsi="Times New Roman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1838 г оды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в хуторе Обливском насчитывалось - 42 двора и около 300 человек.</w:t>
      </w:r>
    </w:p>
    <w:p w14:paraId="D6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 </w:t>
      </w:r>
      <w:r>
        <w:rPr>
          <w:rFonts w:ascii="Times New Roman" w:hAnsi="Times New Roman"/>
          <w:color w:val="000000"/>
          <w:sz w:val="28"/>
        </w:rPr>
        <w:t>1879 году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число дворов составляет уже 80 и отдельных изб принадлежащих «Иногородним» и не составляющи</w:t>
      </w:r>
      <w:r>
        <w:rPr>
          <w:rFonts w:ascii="Times New Roman" w:hAnsi="Times New Roman"/>
          <w:color w:val="000000"/>
          <w:sz w:val="28"/>
        </w:rPr>
        <w:t xml:space="preserve">х двора имеется числом около 20. </w:t>
      </w:r>
      <w:r>
        <w:rPr>
          <w:rFonts w:ascii="Times New Roman" w:hAnsi="Times New Roman"/>
          <w:color w:val="000000"/>
          <w:sz w:val="28"/>
        </w:rPr>
        <w:t>В </w:t>
      </w:r>
      <w:r>
        <w:rPr>
          <w:rFonts w:ascii="Times New Roman" w:hAnsi="Times New Roman"/>
          <w:color w:val="000000"/>
          <w:sz w:val="28"/>
        </w:rPr>
        <w:t>1867-1868 гг.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был построен Молитвенный Дом, на попечении церкви имелось приходское училище, где преподавали закон божий, естествознание, французский и немецкий языки, рукоделие и точные на</w:t>
      </w:r>
      <w:r>
        <w:rPr>
          <w:rFonts w:ascii="Times New Roman" w:hAnsi="Times New Roman"/>
          <w:color w:val="000000"/>
          <w:sz w:val="28"/>
        </w:rPr>
        <w:t xml:space="preserve">уки. </w:t>
      </w:r>
      <w:r>
        <w:rPr>
          <w:rFonts w:ascii="Times New Roman" w:hAnsi="Times New Roman"/>
          <w:color w:val="000000"/>
          <w:sz w:val="28"/>
        </w:rPr>
        <w:t xml:space="preserve">   </w:t>
      </w:r>
      <w:r>
        <w:rPr>
          <w:rFonts w:ascii="Times New Roman" w:hAnsi="Times New Roman"/>
          <w:color w:val="000000"/>
          <w:sz w:val="28"/>
        </w:rPr>
        <w:t>Там обучались дети казаков.</w:t>
      </w:r>
    </w:p>
    <w:p w14:paraId="D7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  </w:t>
      </w:r>
      <w:r>
        <w:rPr>
          <w:rFonts w:ascii="Times New Roman" w:hAnsi="Times New Roman"/>
          <w:color w:val="000000"/>
          <w:sz w:val="28"/>
        </w:rPr>
        <w:t>В </w:t>
      </w:r>
      <w:r>
        <w:rPr>
          <w:rFonts w:ascii="Times New Roman" w:hAnsi="Times New Roman"/>
          <w:color w:val="000000"/>
          <w:sz w:val="28"/>
        </w:rPr>
        <w:t>1881 году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в хуторе открывается почтовая станция (из рапорта станичного атамана).</w:t>
      </w:r>
    </w:p>
    <w:p w14:paraId="D8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r>
        <w:rPr>
          <w:rFonts w:ascii="Times New Roman" w:hAnsi="Times New Roman"/>
          <w:color w:val="000000"/>
          <w:sz w:val="28"/>
        </w:rPr>
        <w:t>В </w:t>
      </w:r>
      <w:r>
        <w:rPr>
          <w:rFonts w:ascii="Times New Roman" w:hAnsi="Times New Roman"/>
          <w:color w:val="000000"/>
          <w:sz w:val="28"/>
        </w:rPr>
        <w:t>1900 году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проложена железная дорога со станцией Обливская. Дорогу строил</w:t>
      </w:r>
      <w:r>
        <w:rPr>
          <w:rFonts w:ascii="Times New Roman" w:hAnsi="Times New Roman"/>
          <w:color w:val="000000"/>
          <w:sz w:val="28"/>
        </w:rPr>
        <w:t>а акционерная компания «ДЮМО» (</w:t>
      </w:r>
      <w:r>
        <w:rPr>
          <w:rFonts w:ascii="Times New Roman" w:hAnsi="Times New Roman"/>
          <w:color w:val="000000"/>
          <w:sz w:val="28"/>
        </w:rPr>
        <w:t>Донецко-Юрьев</w:t>
      </w:r>
      <w:r>
        <w:rPr>
          <w:rFonts w:ascii="Times New Roman" w:hAnsi="Times New Roman"/>
          <w:color w:val="000000"/>
          <w:sz w:val="28"/>
        </w:rPr>
        <w:t>ское металлургическое общество)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контролировалась англо-бельгийско-французским капиталом. После строительства железной дороги наблюдается увеличение населения хутора. </w:t>
      </w:r>
      <w:r>
        <w:rPr>
          <w:rFonts w:ascii="Times New Roman" w:hAnsi="Times New Roman"/>
          <w:color w:val="000000"/>
          <w:sz w:val="28"/>
        </w:rPr>
        <w:t>При ж</w:t>
      </w:r>
      <w:r>
        <w:rPr>
          <w:rFonts w:ascii="Times New Roman" w:hAnsi="Times New Roman"/>
          <w:color w:val="000000"/>
          <w:sz w:val="28"/>
        </w:rPr>
        <w:t>.д. станции введена должность станционного фельдшера (Н.А.Сташков).</w:t>
      </w:r>
    </w:p>
    <w:p w14:paraId="D9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FB290D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>В </w:t>
      </w:r>
      <w:r>
        <w:rPr>
          <w:rFonts w:ascii="Times New Roman" w:hAnsi="Times New Roman"/>
          <w:color w:val="000000"/>
          <w:sz w:val="28"/>
        </w:rPr>
        <w:t>1902 году </w:t>
      </w:r>
      <w:r>
        <w:rPr>
          <w:rFonts w:ascii="Times New Roman" w:hAnsi="Times New Roman"/>
          <w:color w:val="000000"/>
          <w:sz w:val="28"/>
        </w:rPr>
        <w:t>население х</w:t>
      </w:r>
      <w:r>
        <w:rPr>
          <w:rFonts w:ascii="Times New Roman" w:hAnsi="Times New Roman"/>
          <w:color w:val="000000"/>
          <w:sz w:val="28"/>
        </w:rPr>
        <w:t>утора составляет 1 242 человека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1903 году </w:t>
      </w:r>
      <w:r>
        <w:rPr>
          <w:rFonts w:ascii="Times New Roman" w:hAnsi="Times New Roman"/>
          <w:color w:val="000000"/>
          <w:sz w:val="28"/>
        </w:rPr>
        <w:t>купец Дементьев построил в х. Обливском пекарню и при ней открыл хлебный магазин, к 1918 году в х. Обливском имелось уже 7 хлебных магазинов и лавок.</w:t>
      </w:r>
      <w:r>
        <w:rPr>
          <w:rFonts w:ascii="Times New Roman" w:hAnsi="Times New Roman"/>
          <w:color w:val="000000"/>
          <w:sz w:val="28"/>
        </w:rPr>
        <w:t xml:space="preserve">      </w:t>
      </w:r>
      <w:r>
        <w:rPr>
          <w:rFonts w:ascii="Times New Roman" w:hAnsi="Times New Roman"/>
          <w:color w:val="000000"/>
          <w:sz w:val="28"/>
        </w:rPr>
        <w:t>В </w:t>
      </w:r>
      <w:r>
        <w:rPr>
          <w:rFonts w:ascii="Times New Roman" w:hAnsi="Times New Roman"/>
          <w:color w:val="000000"/>
          <w:sz w:val="28"/>
        </w:rPr>
        <w:t>1904 году </w:t>
      </w:r>
      <w:r>
        <w:rPr>
          <w:rFonts w:ascii="Times New Roman" w:hAnsi="Times New Roman"/>
          <w:color w:val="000000"/>
          <w:sz w:val="28"/>
        </w:rPr>
        <w:t>начинается строительство хлебных амбаров известного купца-хлебопромышленника Парамонова. Согласно описи имущества общества «Е.Т. Парамонов и его сыновья» датированной </w:t>
      </w:r>
      <w:r>
        <w:rPr>
          <w:rFonts w:ascii="Times New Roman" w:hAnsi="Times New Roman"/>
          <w:color w:val="000000"/>
          <w:sz w:val="28"/>
        </w:rPr>
        <w:t>1 августа 1906 года</w:t>
      </w:r>
      <w:r>
        <w:rPr>
          <w:rFonts w:ascii="Times New Roman" w:hAnsi="Times New Roman"/>
          <w:color w:val="000000"/>
          <w:sz w:val="28"/>
        </w:rPr>
        <w:t> Парамонов имел в х. Обливском восемь хлебных амбаров, жилой дом деревянный крытый тесом, дом крытый</w:t>
      </w:r>
      <w:r>
        <w:rPr>
          <w:rFonts w:ascii="Times New Roman" w:hAnsi="Times New Roman"/>
          <w:color w:val="FB290D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железом, баню деревянную, служебные помещения, пристань.</w:t>
      </w:r>
      <w:r>
        <w:rPr>
          <w:rFonts w:ascii="Times New Roman" w:hAnsi="Times New Roman"/>
          <w:color w:val="000000"/>
          <w:sz w:val="28"/>
        </w:rPr>
        <w:drawing>
          <wp:anchor allowOverlap="true" behindDoc="false" distB="95250" distL="95250" distR="95250" distT="95250" layoutInCell="true" locked="false" relativeHeight="251658240" simplePos="false">
            <wp:simplePos x="0" y="0"/>
            <wp:positionH relativeFrom="column">
              <wp:posOffset>3376612</wp:posOffset>
            </wp:positionH>
            <wp:positionV relativeFrom="page">
              <wp:posOffset>6755122</wp:posOffset>
            </wp:positionV>
            <wp:extent cx="2695575" cy="3009900"/>
            <wp:effectExtent b="0" l="0" r="0" t="0"/>
            <wp:wrapSquare distB="95250" distL="95250" distR="95250" distT="95250" wrapText="bothSides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12"/>
                    <a:srcRect b="0" l="0" r="0" t="0"/>
                    <a:stretch/>
                  </pic:blipFill>
                  <pic:spPr>
                    <a:xfrm flipH="false" flipV="false" rot="0">
                      <a:ext cx="2695575" cy="300990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DA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</w:t>
      </w:r>
      <w:r>
        <w:rPr>
          <w:rFonts w:ascii="Times New Roman" w:hAnsi="Times New Roman"/>
          <w:color w:val="000000"/>
          <w:sz w:val="28"/>
        </w:rPr>
        <w:t>Купец Ефимов Иосиф Ефимович переехав</w:t>
      </w:r>
      <w:r>
        <w:rPr>
          <w:rFonts w:ascii="Times New Roman" w:hAnsi="Times New Roman"/>
          <w:color w:val="000000"/>
          <w:sz w:val="28"/>
        </w:rPr>
        <w:t xml:space="preserve"> в Обливскую </w:t>
      </w:r>
      <w:r>
        <w:rPr>
          <w:rFonts w:ascii="Times New Roman" w:hAnsi="Times New Roman"/>
          <w:b w:val="0"/>
          <w:color w:val="000000"/>
          <w:sz w:val="28"/>
        </w:rPr>
        <w:t>1906 год</w:t>
      </w:r>
      <w:r>
        <w:rPr>
          <w:rFonts w:ascii="Times New Roman" w:hAnsi="Times New Roman"/>
          <w:b w:val="0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 строит маслозавод и начинает переработку молока и открывает целую сеть магазинов и лавок по всей округе. </w:t>
      </w:r>
      <w:r>
        <w:rPr>
          <w:rFonts w:ascii="Times New Roman" w:hAnsi="Times New Roman"/>
          <w:color w:val="000000"/>
          <w:sz w:val="28"/>
        </w:rPr>
        <w:t>Расширяя производство в 1916 году начинает строительство кожевенного</w:t>
      </w:r>
      <w:r>
        <w:rPr>
          <w:rFonts w:ascii="Times New Roman" w:hAnsi="Times New Roman"/>
          <w:color w:val="000000"/>
          <w:sz w:val="28"/>
        </w:rPr>
        <w:t xml:space="preserve"> завода. Купец Расходов С.Я. держал магазин сельскохозяйственных товаров.</w:t>
      </w:r>
    </w:p>
    <w:p w14:paraId="DB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месте хлебных амбаров Парамонова Е.Т. в </w:t>
      </w:r>
      <w:r>
        <w:rPr>
          <w:rFonts w:ascii="Times New Roman" w:hAnsi="Times New Roman"/>
          <w:b w:val="0"/>
          <w:color w:val="000000"/>
          <w:sz w:val="28"/>
        </w:rPr>
        <w:t xml:space="preserve">1907 - 1914 годах </w:t>
      </w:r>
      <w:r>
        <w:rPr>
          <w:rFonts w:ascii="Times New Roman" w:hAnsi="Times New Roman"/>
          <w:b w:val="0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начинается строительство элеватора, строительство велось на средства Государственног</w:t>
      </w:r>
      <w:r>
        <w:rPr>
          <w:rFonts w:ascii="Times New Roman" w:hAnsi="Times New Roman"/>
          <w:color w:val="000000"/>
          <w:sz w:val="28"/>
        </w:rPr>
        <w:t>о б</w:t>
      </w:r>
      <w:r>
        <w:rPr>
          <w:rFonts w:ascii="Times New Roman" w:hAnsi="Times New Roman"/>
          <w:color w:val="000000"/>
          <w:sz w:val="28"/>
        </w:rPr>
        <w:t>анка.</w:t>
      </w:r>
    </w:p>
    <w:p w14:paraId="D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 </w:t>
      </w:r>
      <w:r>
        <w:rPr>
          <w:rFonts w:ascii="Times New Roman" w:hAnsi="Times New Roman"/>
          <w:b w:val="0"/>
          <w:color w:val="000000"/>
          <w:sz w:val="28"/>
        </w:rPr>
        <w:t>1909 г</w:t>
      </w:r>
      <w:r>
        <w:rPr>
          <w:rFonts w:ascii="Times New Roman" w:hAnsi="Times New Roman"/>
          <w:b w:val="0"/>
          <w:color w:val="000000"/>
          <w:sz w:val="28"/>
        </w:rPr>
        <w:t>оду</w:t>
      </w:r>
      <w:r>
        <w:rPr>
          <w:rFonts w:ascii="Times New Roman" w:hAnsi="Times New Roman"/>
          <w:b w:val="1"/>
          <w:color w:val="000000"/>
          <w:sz w:val="28"/>
        </w:rPr>
        <w:t xml:space="preserve"> 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учреждено местное отделение телеграфа, которое оборудовано аппаратом Морзе и соединило хутор Обливский станицу Нижнее-Чирскую.</w:t>
      </w:r>
    </w:p>
    <w:p w14:paraId="D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 </w:t>
      </w:r>
      <w:r>
        <w:rPr>
          <w:rFonts w:ascii="Times New Roman" w:hAnsi="Times New Roman"/>
          <w:b w:val="0"/>
          <w:color w:val="000000"/>
          <w:sz w:val="28"/>
        </w:rPr>
        <w:t>1</w:t>
      </w:r>
      <w:r>
        <w:rPr>
          <w:rFonts w:ascii="Times New Roman" w:hAnsi="Times New Roman"/>
          <w:b w:val="0"/>
          <w:color w:val="000000"/>
          <w:sz w:val="28"/>
        </w:rPr>
        <w:t>913 года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при церкви открыта библиотека, в которой находилось 145 томов книг, и несколько позже был открыт книжный магазин; действует приемный покой с земским врачом П.П. Казаковым и фельдшером Н.П. Абрамовым; функционирует отделение Московского купеческого банка.</w:t>
      </w:r>
    </w:p>
    <w:p w14:paraId="D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 </w:t>
      </w:r>
      <w:r>
        <w:rPr>
          <w:rFonts w:ascii="Times New Roman" w:hAnsi="Times New Roman"/>
          <w:b w:val="0"/>
          <w:color w:val="000000"/>
          <w:sz w:val="28"/>
        </w:rPr>
        <w:t>1914 года </w:t>
      </w:r>
      <w:r>
        <w:rPr>
          <w:rFonts w:ascii="Times New Roman" w:hAnsi="Times New Roman"/>
          <w:color w:val="000000"/>
          <w:sz w:val="28"/>
        </w:rPr>
        <w:t>запущено производство кирпичного завода, который находится у реки Чир, глина берется в хуторе Синяпкин. Работает литературно-музыкально-драматический кружок.</w:t>
      </w:r>
    </w:p>
    <w:p w14:paraId="D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 революции </w:t>
      </w:r>
      <w:r>
        <w:rPr>
          <w:rFonts w:ascii="Times New Roman" w:hAnsi="Times New Roman"/>
          <w:b w:val="0"/>
          <w:color w:val="000000"/>
          <w:sz w:val="28"/>
        </w:rPr>
        <w:t>1917 года </w:t>
      </w:r>
      <w:r>
        <w:rPr>
          <w:rFonts w:ascii="Times New Roman" w:hAnsi="Times New Roman"/>
          <w:color w:val="000000"/>
          <w:sz w:val="28"/>
        </w:rPr>
        <w:t xml:space="preserve">территория района входила в состав 2 Донского округа области Войска Донского. Станичными делами заправлял атаман с военным и гражданским помощниками, полицейский пристав, мировой судья. Работали ветеринарный врач, общество взаимного кредита, почтово–телеграфное отделение, паровая мельница. В хуторе Обливском насчитывалось 3 школы из них, </w:t>
      </w:r>
      <w:r>
        <w:rPr>
          <w:rFonts w:ascii="Times New Roman" w:hAnsi="Times New Roman"/>
          <w:color w:val="000000"/>
          <w:sz w:val="28"/>
        </w:rPr>
        <w:t>церковно-приходская</w:t>
      </w:r>
      <w:r>
        <w:rPr>
          <w:rFonts w:ascii="Times New Roman" w:hAnsi="Times New Roman"/>
          <w:color w:val="000000"/>
          <w:sz w:val="28"/>
        </w:rPr>
        <w:t xml:space="preserve"> (2-х годичного обучения), приходская для казачьего населения и частная для иногородних. В каждой школе работал один учитель</w:t>
      </w:r>
      <w:r>
        <w:rPr>
          <w:rFonts w:ascii="Times New Roman" w:hAnsi="Times New Roman"/>
          <w:color w:val="000000"/>
          <w:sz w:val="28"/>
        </w:rPr>
        <w:t>.</w:t>
      </w:r>
    </w:p>
    <w:p w14:paraId="E0000000">
      <w:pPr>
        <w:spacing w:after="0" w:line="240" w:lineRule="auto"/>
        <w:ind w:firstLine="709" w:left="0"/>
        <w:jc w:val="both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 образования Обливского района существовала Обливская волость, которая была включена</w:t>
      </w:r>
      <w:r>
        <w:rPr>
          <w:rFonts w:ascii="Times New Roman" w:hAnsi="Times New Roman"/>
          <w:color w:val="000000"/>
          <w:sz w:val="28"/>
        </w:rPr>
        <w:t xml:space="preserve"> в состав 2-го Донского Округа. </w:t>
      </w:r>
      <w:r>
        <w:rPr>
          <w:rFonts w:ascii="Times New Roman" w:hAnsi="Times New Roman"/>
          <w:color w:val="000000"/>
          <w:sz w:val="28"/>
        </w:rPr>
        <w:t xml:space="preserve"> Обливский район был образован в </w:t>
      </w:r>
      <w:r>
        <w:rPr>
          <w:rFonts w:ascii="Times New Roman" w:hAnsi="Times New Roman"/>
          <w:b w:val="0"/>
          <w:color w:val="000000"/>
          <w:sz w:val="28"/>
        </w:rPr>
        <w:t>1924 году</w:t>
      </w:r>
      <w:r>
        <w:rPr>
          <w:rFonts w:ascii="Times New Roman" w:hAnsi="Times New Roman"/>
          <w:b w:val="0"/>
          <w:color w:val="000000"/>
          <w:sz w:val="28"/>
        </w:rPr>
        <w:t>.</w:t>
      </w:r>
    </w:p>
    <w:p w14:paraId="E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В сентябре </w:t>
      </w:r>
      <w:r>
        <w:rPr>
          <w:rFonts w:ascii="Times New Roman" w:hAnsi="Times New Roman"/>
          <w:b w:val="0"/>
          <w:color w:val="000000"/>
          <w:sz w:val="28"/>
        </w:rPr>
        <w:t>1937 год</w:t>
      </w:r>
      <w:r>
        <w:rPr>
          <w:rFonts w:ascii="Times New Roman" w:hAnsi="Times New Roman"/>
          <w:b w:val="0"/>
          <w:color w:val="000000"/>
          <w:sz w:val="28"/>
        </w:rPr>
        <w:t>а </w:t>
      </w:r>
      <w:r>
        <w:rPr>
          <w:rFonts w:ascii="Times New Roman" w:hAnsi="Times New Roman"/>
          <w:color w:val="000000"/>
          <w:sz w:val="28"/>
        </w:rPr>
        <w:t>в связи с образованием Ростовской области Обливский район вошел в ее состав.</w:t>
      </w:r>
    </w:p>
    <w:p w14:paraId="E2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15 мая 1943 года </w:t>
      </w:r>
      <w:r>
        <w:rPr>
          <w:rFonts w:ascii="Times New Roman" w:hAnsi="Times New Roman"/>
          <w:color w:val="000000"/>
          <w:sz w:val="28"/>
        </w:rPr>
        <w:t xml:space="preserve">был открыт кирпичный завод и гончарный цех. </w:t>
      </w:r>
    </w:p>
    <w:p w14:paraId="E3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 </w:t>
      </w:r>
      <w:r>
        <w:rPr>
          <w:rFonts w:ascii="Times New Roman" w:hAnsi="Times New Roman"/>
          <w:b w:val="0"/>
          <w:color w:val="000000"/>
          <w:sz w:val="28"/>
        </w:rPr>
        <w:t>1962 году </w:t>
      </w:r>
      <w:r>
        <w:rPr>
          <w:rFonts w:ascii="Times New Roman" w:hAnsi="Times New Roman"/>
          <w:color w:val="000000"/>
          <w:sz w:val="28"/>
        </w:rPr>
        <w:t>заложен парк, тополиная роща у реки Чир (роща Козлова) В </w:t>
      </w:r>
      <w:r>
        <w:rPr>
          <w:rFonts w:ascii="Times New Roman" w:hAnsi="Times New Roman"/>
          <w:b w:val="0"/>
          <w:color w:val="000000"/>
          <w:sz w:val="28"/>
        </w:rPr>
        <w:t>1990 году</w:t>
      </w:r>
      <w:r>
        <w:rPr>
          <w:rFonts w:ascii="Times New Roman" w:hAnsi="Times New Roman"/>
          <w:b w:val="1"/>
          <w:color w:val="000000"/>
          <w:sz w:val="28"/>
        </w:rPr>
        <w:t> </w:t>
      </w:r>
      <w:r>
        <w:rPr>
          <w:rFonts w:ascii="Times New Roman" w:hAnsi="Times New Roman"/>
          <w:color w:val="000000"/>
          <w:sz w:val="28"/>
        </w:rPr>
        <w:t>произошло разукрупнение Обливского района за счет выделения территории Советского района.</w:t>
      </w:r>
    </w:p>
    <w:p w14:paraId="E4000000">
      <w:pPr>
        <w:widowControl w:val="0"/>
        <w:spacing w:after="0" w:before="0" w:line="240" w:lineRule="auto"/>
        <w:ind w:firstLine="567" w:left="0"/>
        <w:jc w:val="both"/>
        <w:rPr>
          <w:rFonts w:ascii="Times New Roman" w:hAnsi="Times New Roman"/>
          <w:color w:val="CF543F"/>
          <w:sz w:val="28"/>
        </w:rPr>
      </w:pPr>
    </w:p>
    <w:p w14:paraId="E5000000">
      <w:bookmarkStart w:id="6" w:name="__RefHeading___6"/>
      <w:bookmarkEnd w:id="6"/>
      <w:pPr>
        <w:pStyle w:val="Style_8"/>
        <w:widowControl w:val="0"/>
        <w:spacing w:before="0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2.3. Стратегические ресурсы развития</w:t>
      </w:r>
    </w:p>
    <w:p w14:paraId="E6000000">
      <w:bookmarkStart w:id="7" w:name="__RefHeading___7"/>
      <w:bookmarkEnd w:id="7"/>
      <w:pPr>
        <w:pStyle w:val="Style_8"/>
      </w:pPr>
      <w:r>
        <w:t>2.3.1. Природно-географический капитал и историческое наследие</w:t>
      </w:r>
    </w:p>
    <w:p w14:paraId="E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Одним из основных конкурентных преимуществ Обливского района являются земельные ресурсы и климатические условия, которые служат фундаментальной основой для развития агропромышленного комплекса (далее – АПК).</w:t>
      </w:r>
    </w:p>
    <w:p w14:paraId="E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Климат Обливского района  умеренно-континентальный  с амплитудой среднемесячных температур 30,5</w:t>
      </w:r>
      <w:r>
        <w:rPr>
          <w:rFonts w:ascii="Symbol" w:hAnsi="Symbol"/>
          <w:color w:val="000000"/>
          <w:sz w:val="28"/>
        </w:rPr>
        <w:t>°</w:t>
      </w:r>
      <w:r>
        <w:rPr>
          <w:rFonts w:ascii="Times New Roman" w:hAnsi="Times New Roman"/>
          <w:color w:val="000000"/>
          <w:sz w:val="28"/>
        </w:rPr>
        <w:t>.</w:t>
      </w:r>
    </w:p>
    <w:p w14:paraId="E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Согласно схеме агроклиматического районирования  Ростовской области, район расположен в засушливой зоне с коэффициентом  увлажнения -  0,48. </w:t>
      </w:r>
    </w:p>
    <w:p w14:paraId="E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Особенности климата предопределяют большой удельный вес озимых хлебов в растениеводстве. Они же создают определенные трудности в получении высоких устойчивых урожаев сельскохозяйственных культур и обуславливают острую необходимость тщательного систематического проведения агротехнических приемов, направленных на накопление и сохранение влаги в </w:t>
      </w:r>
      <w:r>
        <w:rPr>
          <w:rFonts w:ascii="Times New Roman" w:hAnsi="Times New Roman"/>
          <w:color w:val="000000"/>
          <w:sz w:val="28"/>
        </w:rPr>
        <w:t>почвах</w:t>
      </w:r>
      <w:r>
        <w:rPr>
          <w:rFonts w:ascii="Times New Roman" w:hAnsi="Times New Roman"/>
          <w:color w:val="000000"/>
          <w:sz w:val="28"/>
        </w:rPr>
        <w:t xml:space="preserve"> и предотвращение процессов водной эрозии.</w:t>
      </w:r>
    </w:p>
    <w:p w14:paraId="E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Несмотря на это, в районе успешно выращиваются зерновые культуры, подсолнечник, картофель, овощи, бахчи продовольственные, кормовые культуры. </w:t>
      </w:r>
    </w:p>
    <w:p w14:paraId="E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Современное экономическое состояние района во многом определяется теми ресурсами, которые находятся на его территории, и инвестиционная привлекательность территории тоже, в значительной степени зависит от них. </w:t>
      </w:r>
    </w:p>
    <w:p w14:paraId="E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Освоение имеющихся природных ресурсов района может стать импульсом  для  развития экономики района.</w:t>
      </w:r>
    </w:p>
    <w:p w14:paraId="E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Около 90 %  земель района относятся к землям сельскохозяйственного назначения (181251 га),  земли сельских поселений занимают площадь  603 га, земли промышленности, транспорта и связи – 1058 га, земли рекреационного назначения - 1 га, земли лесного фонда – 12377 га, земли водного фонда - 492 га, земли запаса – 4441 га. </w:t>
      </w:r>
    </w:p>
    <w:p w14:paraId="E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Из всех земель сельскохозяйственного назначения пашня занимает  110193 га или 60,8 %.</w:t>
      </w:r>
    </w:p>
    <w:p w14:paraId="F0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Обливский район расположен в зоне переходной от черноземов южных к каштановым почвам.  Основными чертами почвенного покрова территории района являются его неоднородность, большое участие в нем эродированных почв, значительная комплексность. Эти особенности явились следствием совокупности природных условий района – пересеченность рельефа и умеренно-континентального климата с ливневым характером летних осадков, </w:t>
      </w:r>
      <w:r>
        <w:rPr>
          <w:rFonts w:ascii="Times New Roman" w:hAnsi="Times New Roman"/>
          <w:color w:val="000000"/>
          <w:sz w:val="28"/>
        </w:rPr>
        <w:t xml:space="preserve">быстрым нарастанием температур весной, ведущим к быстрому снеготаянию и т.д.  </w:t>
      </w:r>
    </w:p>
    <w:p w14:paraId="F1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Почвенный покров района может быть условно разделен на четыре почвенных района.</w:t>
      </w:r>
    </w:p>
    <w:p w14:paraId="F2000000">
      <w:pPr>
        <w:tabs>
          <w:tab w:leader="none" w:pos="1620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1-й почвенный  район - южных черноземов - занимает площадь 17,2 тыс. га (8,5 % от площади района)</w:t>
      </w:r>
      <w:r>
        <w:rPr>
          <w:rFonts w:ascii="Symbol" w:hAnsi="Symbol"/>
          <w:color w:val="000000"/>
          <w:sz w:val="28"/>
        </w:rPr>
        <w:t>;</w:t>
      </w:r>
    </w:p>
    <w:p w14:paraId="F3000000">
      <w:pPr>
        <w:tabs>
          <w:tab w:leader="none" w:pos="1620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2-й почвенный район – темно-каштановых почв - охватывает более половины района.   Площадь их составляет 142,9 тыс. га или 71 %. Район характеризуется   довольно  расчлененным  рельефом. Темно- каштановые почвы залегают на различных элементах рельефа, в связи  с этим имеют  различную  мощность гумусовых горизонтов и различную эродированность;  </w:t>
      </w:r>
    </w:p>
    <w:p w14:paraId="F4000000">
      <w:pPr>
        <w:tabs>
          <w:tab w:leader="none" w:pos="1620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3-й почвенный район - каштановых почв – занимает  небольшую часть и охватывает большую часть территории ОАО  «Лобачевский»  5,7 тыс. га;</w:t>
      </w:r>
    </w:p>
    <w:p w14:paraId="F5000000">
      <w:pPr>
        <w:tabs>
          <w:tab w:leader="none" w:pos="1620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4-й  почвенный район - почвы долин – занимает довольно значительную площадь и включает в себя  гидроморфные и полугидроморфные типы почв. </w:t>
      </w:r>
    </w:p>
    <w:p w14:paraId="F6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В почвенном покрове района почти во всех хозяйствах присутствуют участки песков. Главной особенностью этих почв является их связность, и как следствие этого способность легко переноситься под действием ветра. По запасам гумуса и питательных веществ пески относятся к почвам с крайне низким плодородием. Значительную площадь занимают почвы балок.  Под этим названием присутствуют смытые почвы склонов. </w:t>
      </w:r>
    </w:p>
    <w:p w14:paraId="F7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</w:rPr>
        <w:t xml:space="preserve"> Все они характеризуются очень маленькой мощностью гумусового горизонта (до 30 см) и низким содержанием питательных веществ и запасом влаги. Почвы балок непахотнопригодны.</w:t>
      </w:r>
    </w:p>
    <w:p w14:paraId="F8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 схеме геоморфологического районирования Ростовской области территория Обливского района относится к </w:t>
      </w:r>
      <w:r>
        <w:rPr>
          <w:rFonts w:ascii="Times New Roman" w:hAnsi="Times New Roman"/>
          <w:color w:val="000000"/>
          <w:sz w:val="28"/>
        </w:rPr>
        <w:t>Доно-Донецкой</w:t>
      </w:r>
      <w:r>
        <w:rPr>
          <w:rFonts w:ascii="Times New Roman" w:hAnsi="Times New Roman"/>
          <w:color w:val="000000"/>
          <w:sz w:val="28"/>
        </w:rPr>
        <w:t xml:space="preserve"> эрозионной равнине.</w:t>
      </w:r>
    </w:p>
    <w:p w14:paraId="F9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Территория района хорошо дренирована и имеет развитую природную гидрографическую сеть.</w:t>
      </w:r>
    </w:p>
    <w:p w14:paraId="FA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Все реки района носят степной характер. Водный режим их находится почти в полной зависимости от атмосферных  осадков  и интенсивности снеготаяния и характеризуется весенним половодьем и маловодной меженью в остальное время года.</w:t>
      </w:r>
    </w:p>
    <w:p w14:paraId="FB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Основные водные артерии территории – реки Чир, Березовая и Машка. Наиболее крупной рекой является река Чир.</w:t>
      </w:r>
    </w:p>
    <w:p w14:paraId="FC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Река Чир является одной из самых чистых рек, так как на ее берегах нет ни одного промышленного предприятия. Грунтовые воды, в основном  пресные и слабоминерализованные. </w:t>
      </w:r>
    </w:p>
    <w:p w14:paraId="FD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Лесные массивы в основном рукотворного происхождения, посаженные Обливским лесхозом. Самые старые лесные насаждения посажены в 1905 году. </w:t>
      </w:r>
    </w:p>
    <w:p w14:paraId="FE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Гослесфонд района составляет 11892 га. </w:t>
      </w:r>
    </w:p>
    <w:p w14:paraId="FF00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территории района располагаются два охраняемых лесных памятника природы областного значения: Урочище Обливские пески, посадки сосны 1940 года,  искусственные насаждения сосны 1933 года в междуречье рек Чир и </w:t>
      </w:r>
      <w:r>
        <w:rPr>
          <w:rFonts w:ascii="Times New Roman" w:hAnsi="Times New Roman"/>
          <w:color w:val="000000"/>
          <w:sz w:val="28"/>
        </w:rPr>
        <w:t>Березовая</w:t>
      </w:r>
      <w:r>
        <w:rPr>
          <w:rFonts w:ascii="Times New Roman" w:hAnsi="Times New Roman"/>
          <w:color w:val="000000"/>
          <w:sz w:val="28"/>
        </w:rPr>
        <w:t xml:space="preserve">. </w:t>
      </w:r>
    </w:p>
    <w:p w14:paraId="00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Современный животный мир района разнообразен. </w:t>
      </w:r>
      <w:r>
        <w:rPr>
          <w:rFonts w:ascii="Times New Roman" w:hAnsi="Times New Roman"/>
          <w:color w:val="000000"/>
          <w:sz w:val="28"/>
        </w:rPr>
        <w:t>Самым многочисленным отрядом млекопитающих являются грызуны (сурки, суслики, тушканчики, мышовки, мыши, полевки) и хищники (волк, лисица, хорек, ласка, барсук, выдра).</w:t>
      </w:r>
    </w:p>
    <w:p w14:paraId="01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водоемах  обитают: утки, бобры, ондатры, встречается норка. </w:t>
      </w:r>
      <w:r>
        <w:rPr>
          <w:rFonts w:ascii="Times New Roman" w:hAnsi="Times New Roman"/>
          <w:color w:val="000000"/>
          <w:sz w:val="28"/>
        </w:rPr>
        <w:t>В реке Чир водятся  такие рыбы как: пескарь, уклея, краносперка, щука, голавль, язь, налим, серка, подуст, сом, окунь, ерш, гибрид, сазан, линь, судак, рыбец, лещ.</w:t>
      </w:r>
      <w:r>
        <w:rPr>
          <w:rFonts w:ascii="Times New Roman" w:hAnsi="Times New Roman"/>
          <w:color w:val="000000"/>
          <w:sz w:val="28"/>
        </w:rPr>
        <w:t xml:space="preserve"> Некоторые рыбы живут в реке Чир постоянно, а некоторые заходят в реку для того, чтобы метать икру. Например, рыбец. Необходимо отметить, что рыбный запас реки с каждым годом уменьшается, меньше становится и раков. </w:t>
      </w:r>
    </w:p>
    <w:p w14:paraId="02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Туристический потенциал Обливского района:</w:t>
      </w:r>
    </w:p>
    <w:p w14:paraId="03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настоящее время туристская деятельность в Обливском районе  находится в стадии планирования и развития. Несмотря на традиционно устойчивый курс развития аграрно-промышленного комплекса, район имеет свои туристские ресурсы в качестве потенциала для развития отдельных  видов туризма и отдыха. </w:t>
      </w:r>
    </w:p>
    <w:p w14:paraId="04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 наиболее существенным преимуществам туризма в Обливском районе относятся: его выгодное географическое расположение и развитая транспортная инфраструктура,  благоприятные климатические условия; богатое культурно-историческое наследие, в том числе представленное самобытными донскими традициями. </w:t>
      </w:r>
    </w:p>
    <w:p w14:paraId="05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Условием успешного развития туризма является активное вовлечение и участие общественных и профессиональных туристских объединений в формировании и продвижении районного туристского продукта и туристской привлекательности Обливского района.</w:t>
      </w:r>
    </w:p>
    <w:p w14:paraId="06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Территория Обливского района – это Донской казачий край с богатой историей, вековыми,  культурными и трудовыми традициями, уходящими корнями в XVII век.</w:t>
      </w:r>
    </w:p>
    <w:p w14:paraId="07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развития сферы туризма в районе наиболее привлекательными направлениями могут стать изучение казачьего быта, казачьего фольклора и праздников, казачьей кухни.</w:t>
      </w:r>
    </w:p>
    <w:p w14:paraId="08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Значительная </w:t>
      </w:r>
      <w:r>
        <w:rPr>
          <w:rFonts w:ascii="Times New Roman" w:hAnsi="Times New Roman"/>
          <w:color w:val="000000"/>
          <w:sz w:val="28"/>
        </w:rPr>
        <w:t>часть жителей Обливского района относится к</w:t>
      </w:r>
      <w:r>
        <w:rPr>
          <w:rFonts w:ascii="Times New Roman" w:hAnsi="Times New Roman"/>
          <w:color w:val="000000"/>
          <w:sz w:val="28"/>
        </w:rPr>
        <w:t xml:space="preserve"> донским казакам, а поселения - к казачьим станицам и хуторам. Исторически территория, занимаемая сегодня районом, входила в состав Области Войска Донского. В районе много делается для возрождения казачьих традиций и жизненного уклада.</w:t>
      </w:r>
    </w:p>
    <w:p w14:paraId="09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Старейшим культурно-историческим и административным центром  района является станица Обливская, впервые упомянутая в1744 году.</w:t>
      </w:r>
    </w:p>
    <w:p w14:paraId="0A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Внимание гостей станицы Обливской и района привлекают многие детали, присущие только этой территории. Это живописные посадки хвойных деревьев, выращенные на песках, богатейшие лесонасаждения вдоль рек Чир, Машка, Березовая. Внутри станицы самой яркой достопримечательностью является Свято-Никольский храм, сооруженный в 1914 году на средства прихожан. Замечательная сама по себе архитектура храма, равного которого нет в округе на территории Ростовской и Волгоградской области, подкреплена огромным объемом ремонтно-восстановительных работ.  </w:t>
      </w:r>
    </w:p>
    <w:p w14:paraId="0B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Среди достопримечательностей необходимо отметить Обливский краеведческий музей. Он был основан в 1994 году. Его предшественником был школьный музей в ОСОШ № 2, который на протяжении многих лет создавала        В.Ф. Авсецина. В 1994 году некоторые экспонаты школьного музея были переданы в дар новому районному музею.</w:t>
      </w:r>
    </w:p>
    <w:p w14:paraId="0C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Песчаные донские берега Обливского  района давно стали 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злюбленным местом отдыха не только для местного населения. Здесь на отдых останавливаются автотуристы, туристы, экскурсанты, участники сплавов на байдарках, любители рыбалки. Учитывая возможности </w:t>
      </w:r>
      <w:r>
        <w:rPr>
          <w:rFonts w:ascii="Times New Roman" w:hAnsi="Times New Roman"/>
          <w:color w:val="000000"/>
          <w:sz w:val="28"/>
        </w:rPr>
        <w:t>О</w:t>
      </w:r>
      <w:r>
        <w:rPr>
          <w:rFonts w:ascii="Times New Roman" w:hAnsi="Times New Roman"/>
          <w:color w:val="000000"/>
          <w:sz w:val="28"/>
        </w:rPr>
        <w:t>бливского района, в том числе и наличие водных ресурсов, с помощью туристских фирм и спортивных организаций можно реализовать различные туристические программы. Однако необходимо принять во внимание недостаточно развитую туристскую инфраструктуру. Для создания новых туристских маршрутов, повышения качества обслуживания туристов необходимо обустроить «зеленые стоянки», </w:t>
      </w:r>
      <w:r>
        <w:rPr>
          <w:rFonts w:ascii="Times New Roman" w:hAnsi="Times New Roman"/>
          <w:color w:val="000000"/>
          <w:sz w:val="28"/>
        </w:rPr>
        <w:t xml:space="preserve"> создать современную туристскую </w:t>
      </w:r>
      <w:r>
        <w:rPr>
          <w:rFonts w:ascii="Times New Roman" w:hAnsi="Times New Roman"/>
          <w:color w:val="000000"/>
          <w:sz w:val="28"/>
        </w:rPr>
        <w:t>инфраструктуру.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     В районе также есть хорошие условия для охоты и любительского рыболовства, возможна организация водных туристических маршрутов</w:t>
      </w:r>
    </w:p>
    <w:p w14:paraId="0D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Вышеперечисленные факторы в совокупности создают привлекательные условия для </w:t>
      </w:r>
      <w:r>
        <w:rPr>
          <w:rFonts w:ascii="Times New Roman" w:hAnsi="Times New Roman"/>
          <w:color w:val="000000"/>
          <w:sz w:val="28"/>
        </w:rPr>
        <w:t>притока туристов район</w:t>
      </w:r>
      <w:r>
        <w:rPr>
          <w:rFonts w:ascii="Times New Roman" w:hAnsi="Times New Roman"/>
          <w:color w:val="000000"/>
          <w:sz w:val="28"/>
        </w:rPr>
        <w:t>.</w:t>
      </w:r>
    </w:p>
    <w:p w14:paraId="0E010000">
      <w:bookmarkStart w:id="8" w:name="__RefHeading___8"/>
      <w:bookmarkEnd w:id="8"/>
      <w:pPr>
        <w:pStyle w:val="Style_8"/>
      </w:pPr>
      <w:r>
        <w:t>2.3.2. Население и трудовые ресурсы</w:t>
      </w:r>
    </w:p>
    <w:p w14:paraId="0F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Оценка ч</w:t>
      </w:r>
      <w:r>
        <w:rPr>
          <w:rFonts w:ascii="Times New Roman" w:hAnsi="Times New Roman"/>
          <w:color w:val="000000"/>
          <w:sz w:val="28"/>
        </w:rPr>
        <w:t>исленност</w:t>
      </w:r>
      <w:r>
        <w:rPr>
          <w:rFonts w:ascii="Times New Roman" w:hAnsi="Times New Roman"/>
          <w:color w:val="000000"/>
          <w:sz w:val="28"/>
        </w:rPr>
        <w:t>и</w:t>
      </w:r>
      <w:r>
        <w:rPr>
          <w:rFonts w:ascii="Times New Roman" w:hAnsi="Times New Roman"/>
          <w:color w:val="000000"/>
          <w:sz w:val="28"/>
        </w:rPr>
        <w:t xml:space="preserve">  населения в </w:t>
      </w:r>
      <w:r>
        <w:rPr>
          <w:rFonts w:ascii="Times New Roman" w:hAnsi="Times New Roman"/>
          <w:color w:val="000000"/>
          <w:sz w:val="28"/>
        </w:rPr>
        <w:t>Обливск</w:t>
      </w:r>
      <w:r>
        <w:rPr>
          <w:rFonts w:ascii="Times New Roman" w:hAnsi="Times New Roman"/>
          <w:sz w:val="28"/>
        </w:rPr>
        <w:t>ом</w:t>
      </w:r>
      <w:r>
        <w:rPr>
          <w:rFonts w:ascii="Times New Roman" w:hAnsi="Times New Roman"/>
          <w:sz w:val="28"/>
        </w:rPr>
        <w:t xml:space="preserve"> районе </w:t>
      </w:r>
      <w:r>
        <w:rPr>
          <w:rFonts w:ascii="Times New Roman" w:hAnsi="Times New Roman"/>
          <w:sz w:val="28"/>
        </w:rPr>
        <w:t xml:space="preserve">согласно данным </w:t>
      </w:r>
      <w:r>
        <w:rPr>
          <w:rFonts w:ascii="Times New Roman" w:hAnsi="Times New Roman"/>
          <w:sz w:val="28"/>
        </w:rPr>
        <w:t>Ростовстата</w:t>
      </w:r>
      <w:r>
        <w:rPr>
          <w:rFonts w:ascii="Times New Roman" w:hAnsi="Times New Roman"/>
          <w:sz w:val="28"/>
        </w:rPr>
        <w:t xml:space="preserve"> на 01.01.2025 составляет 16,3 тыс. человек, </w:t>
      </w:r>
      <w:r>
        <w:br/>
      </w:r>
      <w:r>
        <w:rPr>
          <w:rFonts w:ascii="Times New Roman" w:hAnsi="Times New Roman"/>
          <w:sz w:val="28"/>
        </w:rPr>
        <w:t xml:space="preserve">или </w:t>
      </w:r>
      <w:r>
        <w:rPr>
          <w:rFonts w:ascii="Times New Roman" w:hAnsi="Times New Roman"/>
          <w:sz w:val="28"/>
        </w:rPr>
        <w:t>98,7</w:t>
      </w:r>
      <w:r>
        <w:rPr>
          <w:rFonts w:ascii="Times New Roman" w:hAnsi="Times New Roman"/>
          <w:sz w:val="28"/>
        </w:rPr>
        <w:t xml:space="preserve"> процент</w:t>
      </w:r>
      <w:r>
        <w:rPr>
          <w:rFonts w:ascii="Times New Roman" w:hAnsi="Times New Roman"/>
          <w:sz w:val="28"/>
        </w:rPr>
        <w:t>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к оценке численности</w:t>
      </w:r>
      <w:r>
        <w:rPr>
          <w:rFonts w:ascii="Times New Roman" w:hAnsi="Times New Roman"/>
          <w:sz w:val="28"/>
        </w:rPr>
        <w:t xml:space="preserve"> населения </w:t>
      </w:r>
      <w:r>
        <w:rPr>
          <w:rFonts w:ascii="Times New Roman" w:hAnsi="Times New Roman"/>
          <w:sz w:val="28"/>
        </w:rPr>
        <w:t>аналогичного периода прошлого года (01.01.2024 – 16,5 тыс.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чел.).</w:t>
      </w:r>
    </w:p>
    <w:p w14:paraId="10010000">
      <w:pPr>
        <w:widowControl w:val="0"/>
        <w:spacing w:after="0" w:line="264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Численность населения в </w:t>
      </w:r>
      <w:r>
        <w:rPr>
          <w:rFonts w:ascii="Times New Roman" w:hAnsi="Times New Roman"/>
          <w:sz w:val="28"/>
        </w:rPr>
        <w:t>Обливском</w:t>
      </w:r>
      <w:r>
        <w:rPr>
          <w:rFonts w:ascii="Times New Roman" w:hAnsi="Times New Roman"/>
          <w:sz w:val="28"/>
        </w:rPr>
        <w:t xml:space="preserve"> районе постепенно </w:t>
      </w:r>
      <w:r>
        <w:rPr>
          <w:rFonts w:ascii="Times New Roman" w:hAnsi="Times New Roman"/>
          <w:sz w:val="28"/>
        </w:rPr>
        <w:t>снижается</w:t>
      </w:r>
      <w:r>
        <w:rPr>
          <w:rFonts w:ascii="Times New Roman" w:hAnsi="Times New Roman"/>
          <w:sz w:val="28"/>
        </w:rPr>
        <w:t xml:space="preserve"> и будет снижаться в </w:t>
      </w:r>
      <w:r>
        <w:rPr>
          <w:rFonts w:ascii="Times New Roman" w:hAnsi="Times New Roman"/>
          <w:sz w:val="28"/>
        </w:rPr>
        <w:t>дальнейшем</w:t>
      </w:r>
      <w:r>
        <w:rPr>
          <w:rFonts w:ascii="Times New Roman" w:hAnsi="Times New Roman"/>
          <w:sz w:val="28"/>
        </w:rPr>
        <w:t xml:space="preserve">. Причинами сокращения численности населения района по-прежнему являются: превышение естественной убыли населения над рождаемостью и миграционная убыль. </w:t>
      </w:r>
    </w:p>
    <w:p w14:paraId="11010000">
      <w:bookmarkStart w:id="9" w:name="__RefHeading___9"/>
      <w:bookmarkEnd w:id="9"/>
      <w:pPr>
        <w:pStyle w:val="Style_8"/>
      </w:pPr>
      <w:r>
        <w:t xml:space="preserve">2.3.3. Научно-образовательная среда </w:t>
      </w:r>
    </w:p>
    <w:p w14:paraId="1201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Муниципальная сеть образовательных</w:t>
      </w:r>
      <w:r>
        <w:rPr>
          <w:rFonts w:ascii="Times New Roman" w:hAnsi="Times New Roman"/>
          <w:color w:val="000000"/>
          <w:sz w:val="28"/>
        </w:rPr>
        <w:t xml:space="preserve"> организаци</w:t>
      </w:r>
      <w:r>
        <w:rPr>
          <w:rFonts w:ascii="Times New Roman" w:hAnsi="Times New Roman"/>
          <w:color w:val="000000"/>
          <w:sz w:val="28"/>
        </w:rPr>
        <w:t>й Обливского района, включает 17</w:t>
      </w:r>
      <w:r>
        <w:rPr>
          <w:rFonts w:ascii="Times New Roman" w:hAnsi="Times New Roman"/>
          <w:color w:val="000000"/>
          <w:sz w:val="28"/>
        </w:rPr>
        <w:t xml:space="preserve"> образовательных организации, в том числе:</w:t>
      </w:r>
    </w:p>
    <w:p w14:paraId="13010000">
      <w:pPr>
        <w:numPr>
          <w:ilvl w:val="0"/>
          <w:numId w:val="1"/>
        </w:numPr>
        <w:tabs>
          <w:tab w:leader="none" w:pos="851" w:val="left"/>
        </w:tabs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</w:t>
      </w:r>
      <w:r>
        <w:rPr>
          <w:rFonts w:ascii="Times New Roman" w:hAnsi="Times New Roman"/>
          <w:color w:val="000000"/>
          <w:sz w:val="28"/>
        </w:rPr>
        <w:t xml:space="preserve"> общеобразовательных организаций</w:t>
      </w:r>
      <w:r>
        <w:rPr>
          <w:rFonts w:ascii="Times New Roman" w:hAnsi="Times New Roman"/>
          <w:color w:val="000000"/>
          <w:sz w:val="28"/>
        </w:rPr>
        <w:t>(6 юридических лиц, 5 филиалов)</w:t>
      </w:r>
      <w:r>
        <w:rPr>
          <w:rFonts w:ascii="Times New Roman" w:hAnsi="Times New Roman"/>
          <w:color w:val="000000"/>
          <w:sz w:val="28"/>
        </w:rPr>
        <w:t>;</w:t>
      </w:r>
    </w:p>
    <w:p w14:paraId="14010000">
      <w:pPr>
        <w:numPr>
          <w:ilvl w:val="0"/>
          <w:numId w:val="1"/>
        </w:numPr>
        <w:tabs>
          <w:tab w:leader="none" w:pos="851" w:val="left"/>
        </w:tabs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</w:t>
      </w:r>
      <w:r>
        <w:rPr>
          <w:rFonts w:ascii="Times New Roman" w:hAnsi="Times New Roman"/>
          <w:color w:val="000000"/>
          <w:sz w:val="28"/>
        </w:rPr>
        <w:t xml:space="preserve"> дошколь</w:t>
      </w:r>
      <w:r>
        <w:rPr>
          <w:rFonts w:ascii="Times New Roman" w:hAnsi="Times New Roman"/>
          <w:color w:val="000000"/>
          <w:sz w:val="28"/>
        </w:rPr>
        <w:t>ных образовательных организации (3 юридических лица, 1 филиал)</w:t>
      </w:r>
      <w:r>
        <w:rPr>
          <w:rFonts w:ascii="Times New Roman" w:hAnsi="Times New Roman"/>
          <w:color w:val="000000"/>
          <w:sz w:val="28"/>
        </w:rPr>
        <w:t>;</w:t>
      </w:r>
    </w:p>
    <w:p w14:paraId="15010000">
      <w:pPr>
        <w:numPr>
          <w:ilvl w:val="0"/>
          <w:numId w:val="1"/>
        </w:numPr>
        <w:tabs>
          <w:tab w:leader="none" w:pos="851" w:val="left"/>
        </w:tabs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 учреждения дополнительного образования.</w:t>
      </w:r>
    </w:p>
    <w:p w14:paraId="16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Численность обучающихся общеобразовательных учреждений составляет 1478 человек, дошкольных образовательных учреждений - </w:t>
      </w:r>
      <w:r>
        <w:rPr>
          <w:rFonts w:ascii="Times New Roman" w:hAnsi="Times New Roman"/>
          <w:color w:val="000000"/>
          <w:sz w:val="28"/>
        </w:rPr>
        <w:t>368 человек</w:t>
      </w:r>
      <w:r>
        <w:rPr>
          <w:rFonts w:ascii="Times New Roman" w:hAnsi="Times New Roman"/>
          <w:color w:val="000000"/>
          <w:sz w:val="28"/>
        </w:rPr>
        <w:t>, охват детей дополнительным образованием составляет 1591 человек.</w:t>
      </w:r>
    </w:p>
    <w:p w14:paraId="17010000">
      <w:pPr>
        <w:tabs>
          <w:tab w:leader="none" w:pos="708" w:val="left"/>
        </w:tabs>
        <w:spacing w:after="0" w:before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системе дошкольного образования работают более 50 опытных высокопрофессиональных педагогов, имеющих   высшие и первые категории.</w:t>
      </w:r>
    </w:p>
    <w:p w14:paraId="18010000">
      <w:pPr>
        <w:spacing w:after="0" w:before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Педагоги   активно участвуют в районных и региональных педагогических конкурсах, где на протяжении ряда лет добиваются высоких результатов. За период с 2024 года 3 педагога дошкольного образования добились высоких успехов в работе: </w:t>
      </w:r>
      <w:r>
        <w:rPr>
          <w:rFonts w:ascii="Times New Roman" w:hAnsi="Times New Roman"/>
          <w:color w:val="000000"/>
          <w:sz w:val="28"/>
        </w:rPr>
        <w:t>1 воспитатель стал</w:t>
      </w:r>
      <w:r>
        <w:rPr>
          <w:rFonts w:ascii="Times New Roman" w:hAnsi="Times New Roman"/>
          <w:color w:val="000000"/>
          <w:sz w:val="28"/>
        </w:rPr>
        <w:t xml:space="preserve"> лауреатом премии Губернатора Ростовской области в областном конкурсе «Лучший педагогический работник дошкольного образов</w:t>
      </w:r>
      <w:r>
        <w:rPr>
          <w:rFonts w:ascii="Times New Roman" w:hAnsi="Times New Roman"/>
          <w:color w:val="000000"/>
          <w:sz w:val="28"/>
        </w:rPr>
        <w:t>ания Ростовской области», 2 педагога</w:t>
      </w:r>
      <w:r>
        <w:rPr>
          <w:rFonts w:ascii="Times New Roman" w:hAnsi="Times New Roman"/>
          <w:color w:val="000000"/>
          <w:sz w:val="28"/>
        </w:rPr>
        <w:t xml:space="preserve"> стали победителями регионального этапа ХII ежегодного </w:t>
      </w:r>
      <w:r>
        <w:rPr>
          <w:rFonts w:ascii="Times New Roman" w:hAnsi="Times New Roman"/>
          <w:color w:val="000000"/>
          <w:sz w:val="28"/>
        </w:rPr>
        <w:t>Всероссийского конкура «Воспитатели России»</w:t>
      </w:r>
      <w:r>
        <w:rPr>
          <w:rFonts w:ascii="Times New Roman" w:hAnsi="Times New Roman"/>
          <w:color w:val="000000"/>
          <w:sz w:val="28"/>
        </w:rPr>
        <w:t>.</w:t>
      </w:r>
    </w:p>
    <w:p w14:paraId="19010000">
      <w:pPr>
        <w:spacing w:after="0" w:before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В  целях приобщения детей  к истокам Донской казачьей культуры, духовно-нравственного воспитания дошкольников всем детским садам присвоен статус «Казачье», для внедрения в работу казачьего компонента, имеется методическое обеспечение,   </w:t>
      </w:r>
      <w:r>
        <w:rPr>
          <w:rFonts w:ascii="Times New Roman" w:hAnsi="Times New Roman"/>
          <w:color w:val="000000"/>
          <w:sz w:val="28"/>
        </w:rPr>
        <w:t>c</w:t>
      </w:r>
      <w:r>
        <w:rPr>
          <w:rFonts w:ascii="Times New Roman" w:hAnsi="Times New Roman"/>
          <w:color w:val="000000"/>
          <w:sz w:val="28"/>
        </w:rPr>
        <w:t>озданы мини-музеи  с богатой экспозицией казачьей утвари.</w:t>
      </w:r>
    </w:p>
    <w:p w14:paraId="1A010000">
      <w:pPr>
        <w:spacing w:after="0" w:before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Детские сады активно участвуют в Губернаторском проекте «Сделаем вместе: В числе </w:t>
      </w:r>
      <w:r>
        <w:rPr>
          <w:rFonts w:ascii="Times New Roman" w:hAnsi="Times New Roman"/>
          <w:color w:val="000000"/>
          <w:sz w:val="28"/>
        </w:rPr>
        <w:t>победителей  конкурсного отбора на получение субсидии  детские сады «Ивушка» и «Тополек».</w:t>
      </w:r>
      <w:r>
        <w:rPr>
          <w:rFonts w:ascii="Times New Roman" w:hAnsi="Times New Roman"/>
          <w:color w:val="000000"/>
          <w:sz w:val="28"/>
        </w:rPr>
        <w:t xml:space="preserve"> На  выделенные средства областного бюджета детские сады приобрели оборудование, методические и развивающие пособия на общую сумму более 2,5 млн. рублей.</w:t>
      </w:r>
    </w:p>
    <w:p w14:paraId="1B010000">
      <w:pPr>
        <w:spacing w:after="0" w:before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Благодаря участию и победе в конкурсе на базе детского сада «Ивушка» создан центр «Казачьего воспитания дошкольников», в котором дети с удовольствием знакомятся с историей, обычаями Донских казаков, своего родного края. В детском саду «Тополек» открыт муниципальный консультационный  центр по работе с  детьми дошкольного и младшего школьного возраста с ограниченными возможностями здоровья и нарушениями речевого развития.</w:t>
      </w:r>
    </w:p>
    <w:p w14:paraId="1C010000">
      <w:pPr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Воспитанники детских садов также как и школьники являются активными пропагандистами безопасности дорожного движения. В каждом детском саду созданы команды ЮПИД.  Два  детских сада «Сказка» и «Тополек» являются Центрами безопасности дорожного движения. Детские сады  района уже на протяжении многих лет становятся победителями региональных конкурсов команд юных помощников инспекторов движения. </w:t>
      </w:r>
    </w:p>
    <w:p w14:paraId="1D010000">
      <w:pPr>
        <w:spacing w:after="0" w:before="0" w:line="240" w:lineRule="auto"/>
        <w:ind w:firstLine="708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Детские  сады находятся в едином образовательном пространстве с детской музыкальной школой, Домом культуры, библиотекой, краеведческим музеем.</w:t>
      </w:r>
    </w:p>
    <w:p w14:paraId="1E010000">
      <w:pPr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Большая работа ведется с родителями  дошкольников. </w:t>
      </w:r>
      <w:r>
        <w:rPr>
          <w:rFonts w:ascii="Times New Roman" w:hAnsi="Times New Roman"/>
          <w:color w:val="000000"/>
          <w:sz w:val="28"/>
        </w:rPr>
        <w:t xml:space="preserve">В детских садах успешно реализуется комплексная система взаимодействия с родителями посредством созданных в них  </w:t>
      </w:r>
      <w:r>
        <w:rPr>
          <w:rFonts w:ascii="Times New Roman" w:hAnsi="Times New Roman"/>
          <w:color w:val="000000"/>
          <w:sz w:val="28"/>
        </w:rPr>
        <w:t xml:space="preserve">родительских клубов. Такой формат сотрудничества позволяет создать эффективную систему взаимодействия детского сада с семьей, где родители и воспитатели выступают как партнеры в едином образовательном процессе.  </w:t>
      </w:r>
    </w:p>
    <w:p w14:paraId="1F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системе </w:t>
      </w:r>
      <w:r>
        <w:rPr>
          <w:rFonts w:ascii="Times New Roman" w:hAnsi="Times New Roman"/>
          <w:color w:val="000000"/>
          <w:sz w:val="28"/>
        </w:rPr>
        <w:t xml:space="preserve">общего </w:t>
      </w:r>
      <w:r>
        <w:rPr>
          <w:rFonts w:ascii="Times New Roman" w:hAnsi="Times New Roman"/>
          <w:color w:val="000000"/>
          <w:sz w:val="28"/>
        </w:rPr>
        <w:t>образования  в</w:t>
      </w:r>
      <w:r>
        <w:rPr>
          <w:rFonts w:ascii="Times New Roman" w:hAnsi="Times New Roman"/>
          <w:color w:val="000000"/>
          <w:sz w:val="28"/>
        </w:rPr>
        <w:t xml:space="preserve">ысшую квалификационную категорию имеют 162 педагогических работника, первую категорию – 63 педагога. </w:t>
      </w:r>
    </w:p>
    <w:p w14:paraId="20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течение 2025-2026 учебного года  два педагога Обливского района стали победителями конкурса на присуждение премий лучшим учителям за достижения в педагогической деятельности.</w:t>
      </w:r>
    </w:p>
    <w:p w14:paraId="21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Доля обучающихся 6 – 11 классов, охваченных комплексом профориентационных мероприятий в рамках Единой модели профориентации, составляет 100%. Директор МБОУ «Обливская СОШ № 1 им. Героя Советского Союза Синькова С.М.» Пагонцева М.В. стала лидером рейтинга профориентационной работы, в лице директоров или их заместителей общеобразовательных организаций Ростовской области.</w:t>
      </w:r>
      <w:r>
        <w:rPr>
          <w:rFonts w:ascii="Times New Roman" w:hAnsi="Times New Roman"/>
          <w:color w:val="000000"/>
          <w:sz w:val="28"/>
        </w:rPr>
        <w:t xml:space="preserve"> По результатам регионального проекта «Олимпиада по профориентации» двое обучающихся МБОУ «Каштановская СОШ им. Героя Советского Союза Воликова С.А.» заняли 2 место.</w:t>
      </w:r>
    </w:p>
    <w:p w14:paraId="22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МБОУ «Обливская СОШ № 2» стала участником федерального проекта «Кадры в АПК» национального проекта «Технологическое обеспечение продовольственной безопасности», где с 01.09.2025г. открыт агротехнологический 7 класс со специализацией «Генетика и селекция растений». </w:t>
      </w:r>
    </w:p>
    <w:p w14:paraId="23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Преподавание углубленных предметов ведется педагогами, прошедшими дополнительное профессиональное обучение  в Московской сельскохозяйственной академии имени К.А. Тимирязева и Донском государственном аграрном университете, в зонированном учебном кабинете, оснащенном специализированным оборудованием. </w:t>
      </w:r>
    </w:p>
    <w:p w14:paraId="24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Во всех общеобразовательных организациях Обливского района создана современная информационно-образовательная среда. Все общеобразовательные организации подключены к высокоскоростному Интернету, оснащены компьютерной техникой, имеют официальный сайт в сети «Интернет», интернет-сообщество, зарегистрированное через «Госуслуги», что обеспечивает открытость и общедоступность информации о деятельности организаций в соответствии с действующим законодательством.  </w:t>
      </w:r>
    </w:p>
    <w:p w14:paraId="25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Современные материально-технические условия созданы во всех общеобразовательных организациях, том числе: оснащение школьной мебелью, спортивным оборудованием и инвентарем, компьютерной техникой, необходимым учебным оборудованием.</w:t>
      </w:r>
    </w:p>
    <w:p w14:paraId="26010000">
      <w:pPr>
        <w:spacing w:after="0" w:before="0" w:line="240" w:lineRule="auto"/>
        <w:ind w:firstLine="567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рамках реализации национального проекта «Образование» </w:t>
      </w:r>
      <w:r>
        <w:rPr>
          <w:rFonts w:ascii="Times New Roman" w:hAnsi="Times New Roman"/>
          <w:color w:val="000000"/>
          <w:sz w:val="28"/>
        </w:rPr>
        <w:t xml:space="preserve">регионального проекта "Современная школа" </w:t>
      </w:r>
      <w:r>
        <w:rPr>
          <w:rFonts w:ascii="Times New Roman" w:hAnsi="Times New Roman"/>
          <w:color w:val="000000"/>
          <w:sz w:val="28"/>
        </w:rPr>
        <w:t xml:space="preserve">в целях </w:t>
      </w:r>
      <w:r>
        <w:rPr>
          <w:rFonts w:ascii="Times New Roman" w:hAnsi="Times New Roman"/>
          <w:color w:val="000000"/>
          <w:sz w:val="28"/>
          <w:highlight w:val="white"/>
        </w:rPr>
        <w:t xml:space="preserve">обновления материально-технической базы для формирования у обучающихся современных технологических и гуманитарных навыков на базе 6-ти школ (юрид. лиц) района (100 % ) открылись </w:t>
      </w:r>
      <w:r>
        <w:rPr>
          <w:rFonts w:ascii="Times New Roman" w:hAnsi="Times New Roman"/>
          <w:color w:val="000000"/>
          <w:sz w:val="28"/>
        </w:rPr>
        <w:t xml:space="preserve">Центры образования гуманитарного и цифрового профилей «Точка роста» </w:t>
      </w:r>
      <w:r>
        <w:rPr>
          <w:rFonts w:ascii="Times New Roman" w:hAnsi="Times New Roman"/>
          <w:color w:val="000000"/>
          <w:sz w:val="28"/>
        </w:rPr>
        <w:t xml:space="preserve">(МБОУ «Обливская СОШ № 1 им. Героя Советского Союза Синькова С.М.»), </w:t>
      </w:r>
      <w:r>
        <w:rPr>
          <w:rFonts w:ascii="Times New Roman" w:hAnsi="Times New Roman"/>
          <w:color w:val="000000"/>
          <w:sz w:val="28"/>
          <w:highlight w:val="white"/>
        </w:rPr>
        <w:t>Центры образования естественно-научной и технологической направленности «Точка роста» (МБОУ «Обливская СОШ № 2», МБОУ «Леоновская СОШ», МБОУ «Каштановская СОШ им. Героя Советского Союза Воликова С.А.», МБОУ Солонецкая СОШ им. Героя Российской Федерации Шаймуратова М.М., МБОУ Алексее</w:t>
      </w:r>
      <w:r>
        <w:rPr>
          <w:rFonts w:ascii="Times New Roman" w:hAnsi="Times New Roman"/>
          <w:color w:val="000000"/>
          <w:sz w:val="28"/>
        </w:rPr>
        <w:t>вской СОШ, МБОУ «Обливская СОШ №1 имени Героя Советского Союза Синькова С.М.).</w:t>
      </w:r>
    </w:p>
    <w:p w14:paraId="27010000">
      <w:pPr>
        <w:spacing w:after="0" w:before="0" w:line="240" w:lineRule="auto"/>
        <w:ind w:firstLine="567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Также в рамках национального проекта «Образование» в 2021-2022 годах в 4-х школах (МБОУ «Обливская СОШ № 1 им. Героя Советского Союза Синькова С.М.», МБОУ «Обливская СОШ № 2», МБОУ «Каштановская СОШ им. Героя Советского союза Воликова С.А.», </w:t>
      </w:r>
      <w:r>
        <w:rPr>
          <w:rFonts w:ascii="Times New Roman" w:hAnsi="Times New Roman"/>
          <w:color w:val="000000"/>
          <w:sz w:val="28"/>
          <w:highlight w:val="white"/>
        </w:rPr>
        <w:t>МБОУ Солонецкой СОШ им. Героя Российской Федерации Шаймуратова М.М.</w:t>
      </w:r>
      <w:r>
        <w:rPr>
          <w:rFonts w:ascii="Times New Roman" w:hAnsi="Times New Roman"/>
          <w:color w:val="000000"/>
          <w:sz w:val="28"/>
        </w:rPr>
        <w:t>) был реализован федеральный проект «Цифровая образовательная среда».</w:t>
      </w:r>
    </w:p>
    <w:p w14:paraId="28010000">
      <w:pPr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Помимо этого, в 2024 году в 6-ти общеобразовательных организацияхОбливскогорайона в рамках регионального проекта «Патриотическое воспитание граждан Российской Федерации (Ростовская область)» национального проекта «Образование» были поставлены комплекты государственных символов Российской Федерации.</w:t>
      </w:r>
    </w:p>
    <w:p w14:paraId="29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0"/>
          <w:color w:val="000000"/>
          <w:sz w:val="28"/>
        </w:rPr>
        <w:t xml:space="preserve">В рамках реализации федерального проекта «Все лучшее детям» национального проекта «Молодежь и дети» в 4-х общеобразовательных учреждениях: </w:t>
      </w:r>
      <w:r>
        <w:rPr>
          <w:rFonts w:ascii="Times New Roman" w:hAnsi="Times New Roman"/>
          <w:color w:val="000000"/>
          <w:sz w:val="28"/>
        </w:rPr>
        <w:t xml:space="preserve">Обливской СОШ № 1,  Каштановской, </w:t>
      </w:r>
      <w:r>
        <w:rPr>
          <w:rFonts w:ascii="Times New Roman" w:hAnsi="Times New Roman"/>
          <w:color w:val="000000"/>
          <w:sz w:val="28"/>
          <w:highlight w:val="white"/>
        </w:rPr>
        <w:t xml:space="preserve">Солонецкой и  </w:t>
      </w:r>
      <w:r>
        <w:rPr>
          <w:rFonts w:ascii="Times New Roman" w:hAnsi="Times New Roman"/>
          <w:color w:val="000000"/>
          <w:sz w:val="28"/>
        </w:rPr>
        <w:t>Алексеевской школах</w:t>
      </w:r>
      <w:r>
        <w:rPr>
          <w:rFonts w:ascii="Times New Roman" w:hAnsi="Times New Roman"/>
          <w:b w:val="0"/>
          <w:i w:val="0"/>
          <w:color w:val="000000"/>
          <w:sz w:val="28"/>
        </w:rPr>
        <w:t xml:space="preserve"> были оснащены предметные кабинеты по учебным предметам «Основы безопасности и защиты Родины» и </w:t>
      </w:r>
      <w:r>
        <w:rPr>
          <w:rFonts w:ascii="Times New Roman" w:hAnsi="Times New Roman"/>
          <w:color w:val="000000"/>
          <w:sz w:val="28"/>
        </w:rPr>
        <w:t xml:space="preserve">«Труд (технология)»за счет средств федерального, регионального и местного бюджетов. </w:t>
      </w:r>
    </w:p>
    <w:p w14:paraId="2A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2023 году проведен капитальный ремонт МБДОУ «Детский сад «Сказка»</w:t>
      </w:r>
      <w:r>
        <w:rPr>
          <w:rFonts w:ascii="Times New Roman" w:hAnsi="Times New Roman"/>
          <w:color w:val="000000"/>
          <w:sz w:val="28"/>
        </w:rPr>
        <w:t xml:space="preserve"> на общую сумму 114,1 млн.рублей, произведено оснащение мебелью, оборудованием, инвентарем на сумму областного и местного бюджета в размере 12,4 млн. рублей.</w:t>
      </w:r>
    </w:p>
    <w:p w14:paraId="2B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2024 году за счет средств областного бюджета приобретена для юнармейцев для МБОУ «Обливская СОШ №1 имени Героя Советского Союза Синькова С.М.» в сумме 223,2 тыс. рублей.</w:t>
      </w:r>
    </w:p>
    <w:p w14:paraId="2C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2025 году завершен капитальный ремонт Обливской СОШ №2 на общую сумму 443,2 млн. рублей. Проведено полное переоснащение школы на сумму 73,5 млн. рублей.</w:t>
      </w:r>
    </w:p>
    <w:p w14:paraId="2D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 счет средств областного и местного бюджетов произведены:</w:t>
      </w:r>
    </w:p>
    <w:p w14:paraId="2E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капитальный ремонт спортивного зала Каштановской СОШ на сумму 16,0 млн. рублей; </w:t>
      </w: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color w:val="000000"/>
          <w:sz w:val="28"/>
        </w:rPr>
        <w:t xml:space="preserve"> капитальный ремонт фасада и кровли Солонецкой СОШ на сумму 26,2 млн. рублей.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color w:val="000000"/>
          <w:sz w:val="28"/>
        </w:rPr>
        <w:t>Разработана ПСД и получено положительное заключение на сумму 3,2 млн. на капитальный ремонт МБДОУ «Детский сад «Ивушка»» по адресу ул. Буланова,18.</w:t>
      </w:r>
    </w:p>
    <w:p w14:paraId="2F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Для исполнения социально-значимых мероприятий в сфере образования по обращению Администрации Обливского района из резервного фонда Правительства Ростовской области в 2025 году дополнительно выделено 5,0 млн.рублей.  Данные средства были направлены на:</w:t>
      </w:r>
    </w:p>
    <w:p w14:paraId="30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- приобретение кондиционеров в Обливскую СОШ №1 для кабинетов ЕГЭ;</w:t>
      </w:r>
    </w:p>
    <w:p w14:paraId="31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приобретение детских сантехнических перегородок на профиле для детского сада «Тополек».</w:t>
      </w:r>
    </w:p>
    <w:p w14:paraId="32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развитии инфраструктуры образовательных организаций Обливского района важную роль играет участие в  региональном проекте «Сделаем вместе».</w:t>
      </w:r>
    </w:p>
    <w:p w14:paraId="33010000">
      <w:pPr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  период с 2020 по 2025 годы 7 образовательных учреждений района участвовали в реализации Губернаторского проекта «Сделаем вместе!», стали победителями и получили субсидии из областного бюджета </w:t>
      </w:r>
      <w:r>
        <w:rPr>
          <w:rFonts w:ascii="Times New Roman" w:hAnsi="Times New Roman"/>
          <w:color w:val="000000"/>
          <w:sz w:val="28"/>
        </w:rPr>
        <w:t xml:space="preserve">на сумму более 9 млн. рублей </w:t>
      </w:r>
      <w:r>
        <w:rPr>
          <w:rFonts w:ascii="Times New Roman" w:hAnsi="Times New Roman"/>
          <w:color w:val="000000"/>
          <w:sz w:val="28"/>
        </w:rPr>
        <w:t>на укреплен</w:t>
      </w:r>
      <w:r>
        <w:rPr>
          <w:rFonts w:ascii="Times New Roman" w:hAnsi="Times New Roman"/>
          <w:color w:val="000000"/>
          <w:sz w:val="28"/>
        </w:rPr>
        <w:t>ие материально-технической базы.</w:t>
      </w:r>
    </w:p>
    <w:p w14:paraId="34010000">
      <w:bookmarkStart w:id="10" w:name="__RefHeading___10"/>
      <w:bookmarkEnd w:id="10"/>
      <w:pPr>
        <w:pStyle w:val="Style_8"/>
      </w:pPr>
      <w:r>
        <w:t xml:space="preserve">2.3.4. Инфраструктурные ресурсы </w:t>
      </w:r>
    </w:p>
    <w:p w14:paraId="3501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Инженерно-энергетическая, транспортная, телекоммуникационная, деловая и социальная инфраструкт</w:t>
      </w:r>
      <w:r>
        <w:rPr>
          <w:rFonts w:ascii="Times New Roman" w:hAnsi="Times New Roman"/>
          <w:color w:val="000000"/>
          <w:sz w:val="28"/>
        </w:rPr>
        <w:t>уры формируют материальную основу социально-экономического развития Обливского района.</w:t>
      </w:r>
    </w:p>
    <w:p w14:paraId="36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Коммуникации, инженерная и транспортная инфраструктура района находятся в удовлетворительном состоянии. Вся инфраструктура района ремонтопригодна. </w:t>
      </w:r>
    </w:p>
    <w:p w14:paraId="37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FB290D"/>
          <w:sz w:val="28"/>
        </w:rPr>
        <w:t xml:space="preserve">       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Из 38 населенных пунктов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района пока не </w:t>
      </w:r>
      <w:r>
        <w:rPr>
          <w:rFonts w:ascii="Times New Roman" w:hAnsi="Times New Roman"/>
          <w:color w:val="000000"/>
          <w:sz w:val="28"/>
        </w:rPr>
        <w:t>газифицированы</w:t>
      </w:r>
      <w:r>
        <w:rPr>
          <w:rFonts w:ascii="Times New Roman" w:hAnsi="Times New Roman"/>
          <w:color w:val="000000"/>
          <w:sz w:val="28"/>
        </w:rPr>
        <w:t xml:space="preserve"> 18. В районе построено 342,0</w:t>
      </w:r>
      <w:r>
        <w:rPr>
          <w:rFonts w:ascii="Times New Roman" w:hAnsi="Times New Roman"/>
          <w:color w:val="000000"/>
          <w:sz w:val="28"/>
        </w:rPr>
        <w:t xml:space="preserve"> км газопроводов. </w:t>
      </w:r>
      <w:r>
        <w:rPr>
          <w:rFonts w:ascii="Times New Roman" w:hAnsi="Times New Roman"/>
          <w:color w:val="000000"/>
          <w:sz w:val="28"/>
        </w:rPr>
        <w:t>Э</w:t>
      </w:r>
      <w:r>
        <w:rPr>
          <w:rFonts w:ascii="Times New Roman" w:hAnsi="Times New Roman"/>
          <w:color w:val="000000"/>
          <w:sz w:val="28"/>
        </w:rPr>
        <w:t>л</w:t>
      </w:r>
      <w:r>
        <w:rPr>
          <w:rFonts w:ascii="Times New Roman" w:hAnsi="Times New Roman"/>
          <w:color w:val="000000"/>
          <w:sz w:val="28"/>
        </w:rPr>
        <w:t xml:space="preserve">ектроэнергией населенные пункты </w:t>
      </w:r>
      <w:r>
        <w:rPr>
          <w:rFonts w:ascii="Times New Roman" w:hAnsi="Times New Roman"/>
          <w:color w:val="000000"/>
          <w:sz w:val="28"/>
        </w:rPr>
        <w:t>района о</w:t>
      </w:r>
      <w:r>
        <w:rPr>
          <w:rFonts w:ascii="Times New Roman" w:hAnsi="Times New Roman"/>
          <w:color w:val="000000"/>
          <w:sz w:val="28"/>
        </w:rPr>
        <w:t>беспечены на 100%.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Протяженность электросетей в Обливском районе составляет </w:t>
      </w:r>
      <w:r>
        <w:rPr>
          <w:rFonts w:ascii="Times New Roman" w:hAnsi="Times New Roman"/>
          <w:color w:val="000000"/>
          <w:sz w:val="28"/>
        </w:rPr>
        <w:t>1100,0</w:t>
      </w:r>
      <w:r>
        <w:rPr>
          <w:rFonts w:ascii="Times New Roman" w:hAnsi="Times New Roman"/>
          <w:color w:val="000000"/>
          <w:sz w:val="28"/>
        </w:rPr>
        <w:t xml:space="preserve"> км, </w:t>
      </w:r>
      <w:r>
        <w:rPr>
          <w:rFonts w:ascii="Times New Roman" w:hAnsi="Times New Roman"/>
          <w:color w:val="000000"/>
          <w:sz w:val="28"/>
        </w:rPr>
        <w:t xml:space="preserve">протяженность тепловых сетей 13,7 </w:t>
      </w:r>
      <w:r>
        <w:rPr>
          <w:rFonts w:ascii="Times New Roman" w:hAnsi="Times New Roman"/>
          <w:color w:val="000000"/>
          <w:sz w:val="28"/>
        </w:rPr>
        <w:t>км, п</w:t>
      </w:r>
      <w:r>
        <w:rPr>
          <w:rFonts w:ascii="Times New Roman" w:hAnsi="Times New Roman"/>
          <w:color w:val="000000"/>
          <w:sz w:val="28"/>
        </w:rPr>
        <w:t>ротяженность вод</w:t>
      </w:r>
      <w:r>
        <w:rPr>
          <w:rFonts w:ascii="Times New Roman" w:hAnsi="Times New Roman"/>
          <w:color w:val="000000"/>
          <w:sz w:val="28"/>
        </w:rPr>
        <w:t>опроводных сетей составляет 100,5</w:t>
      </w:r>
      <w:r>
        <w:rPr>
          <w:rFonts w:ascii="Times New Roman" w:hAnsi="Times New Roman"/>
          <w:color w:val="000000"/>
          <w:sz w:val="28"/>
        </w:rPr>
        <w:t xml:space="preserve"> км.</w:t>
      </w:r>
      <w:r>
        <w:rPr>
          <w:rFonts w:ascii="Times New Roman" w:hAnsi="Times New Roman"/>
          <w:color w:val="000000"/>
          <w:sz w:val="28"/>
        </w:rPr>
        <w:t xml:space="preserve"> Централизов</w:t>
      </w:r>
      <w:r>
        <w:rPr>
          <w:rFonts w:ascii="Times New Roman" w:hAnsi="Times New Roman"/>
          <w:color w:val="000000"/>
          <w:sz w:val="28"/>
        </w:rPr>
        <w:t>анным водоснабжением охвачено 64</w:t>
      </w:r>
      <w:r>
        <w:rPr>
          <w:rFonts w:ascii="Times New Roman" w:hAnsi="Times New Roman"/>
          <w:color w:val="000000"/>
          <w:sz w:val="28"/>
        </w:rPr>
        <w:t xml:space="preserve">,0 процента населения: в </w:t>
      </w: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танице Обливская – 89,0 процентов</w:t>
      </w:r>
      <w:r>
        <w:rPr>
          <w:rFonts w:ascii="Times New Roman" w:hAnsi="Times New Roman"/>
          <w:color w:val="000000"/>
          <w:sz w:val="28"/>
        </w:rPr>
        <w:t xml:space="preserve">, на остальной </w:t>
      </w:r>
      <w:r>
        <w:rPr>
          <w:rFonts w:ascii="Times New Roman" w:hAnsi="Times New Roman"/>
          <w:color w:val="000000"/>
          <w:sz w:val="28"/>
        </w:rPr>
        <w:t>территории района – 47,5 процентов</w:t>
      </w:r>
      <w:r>
        <w:rPr>
          <w:rFonts w:ascii="Times New Roman" w:hAnsi="Times New Roman"/>
          <w:color w:val="000000"/>
          <w:sz w:val="28"/>
        </w:rPr>
        <w:t>.</w:t>
      </w:r>
    </w:p>
    <w:p w14:paraId="38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 xml:space="preserve">набжение населения и финансируемых из бюджета организаций теплом осуществляли 41 источник теплоснабжения суммарной мощностью 38 Гкал/ч. Протяженность тепловых сетей в </w:t>
      </w:r>
      <w:r>
        <w:rPr>
          <w:rFonts w:ascii="Times New Roman" w:hAnsi="Times New Roman"/>
          <w:color w:val="000000"/>
          <w:sz w:val="28"/>
        </w:rPr>
        <w:t>двухтрубном исчислении составляет</w:t>
      </w:r>
      <w:r>
        <w:rPr>
          <w:rFonts w:ascii="Times New Roman" w:hAnsi="Times New Roman"/>
          <w:color w:val="000000"/>
          <w:sz w:val="28"/>
        </w:rPr>
        <w:t xml:space="preserve"> 13,7 километра. Из общей протяженности трубопроводов 1,9 километра (13,2 процента) нуждаются в замене, из них 1,9 (100 процентов) имеют степень</w:t>
      </w:r>
      <w:r>
        <w:rPr>
          <w:rFonts w:ascii="Times New Roman" w:hAnsi="Times New Roman"/>
          <w:color w:val="000000"/>
          <w:sz w:val="28"/>
        </w:rPr>
        <w:t xml:space="preserve"> износа свыше 8</w:t>
      </w:r>
      <w:r>
        <w:rPr>
          <w:rFonts w:ascii="Times New Roman" w:hAnsi="Times New Roman"/>
          <w:color w:val="000000"/>
          <w:sz w:val="28"/>
        </w:rPr>
        <w:t>0 процентов.</w:t>
      </w:r>
    </w:p>
    <w:p w14:paraId="39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  Увеличение мощности, расширение инфраструктуры возможно при условии дополнительного финансирования.</w:t>
      </w:r>
    </w:p>
    <w:p w14:paraId="3A01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</w:p>
    <w:p w14:paraId="3B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Транспортная инфраструктура.</w:t>
      </w:r>
    </w:p>
    <w:p w14:paraId="3C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3D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Обливский район пересекает автомобильная до</w:t>
      </w:r>
      <w:r>
        <w:rPr>
          <w:rFonts w:ascii="Times New Roman" w:hAnsi="Times New Roman"/>
          <w:color w:val="000000"/>
          <w:sz w:val="28"/>
        </w:rPr>
        <w:t>рога областного значения «Обливская – Советская – Боковская – Каргинская», которая связывает Обливский район с северными территориями Ростовской области. </w:t>
      </w:r>
      <w:r>
        <w:rPr>
          <w:rFonts w:ascii="Times New Roman" w:hAnsi="Times New Roman"/>
          <w:color w:val="FB290D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Общая протяженность автомобильных дорог </w:t>
      </w:r>
      <w:r>
        <w:rPr>
          <w:rFonts w:ascii="Times New Roman" w:hAnsi="Times New Roman"/>
          <w:color w:val="000000"/>
          <w:sz w:val="28"/>
        </w:rPr>
        <w:t>Обливского района – 312,4 км</w:t>
      </w:r>
      <w:r>
        <w:rPr>
          <w:rFonts w:ascii="Times New Roman" w:hAnsi="Times New Roman"/>
          <w:color w:val="000000"/>
          <w:sz w:val="28"/>
        </w:rPr>
        <w:t>.,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Все центральные усадьбы сельскохозяйственных предприятий района связаны с райцентром автомобильными дорогами с твердым покрытием. 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В станице Обливской находится железнодорожная станция Обливская Приволжской Ж</w:t>
      </w:r>
      <w:r>
        <w:rPr>
          <w:rFonts w:ascii="Times New Roman" w:hAnsi="Times New Roman"/>
          <w:color w:val="000000"/>
          <w:sz w:val="28"/>
        </w:rPr>
        <w:t xml:space="preserve">елезной </w:t>
      </w: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ороги</w:t>
      </w:r>
      <w:r>
        <w:rPr>
          <w:rFonts w:ascii="Times New Roman" w:hAnsi="Times New Roman"/>
          <w:color w:val="000000"/>
          <w:sz w:val="28"/>
        </w:rPr>
        <w:t xml:space="preserve">, проложенная еще в 1900 году. </w:t>
      </w:r>
      <w:r>
        <w:rPr>
          <w:rFonts w:ascii="Times New Roman" w:hAnsi="Times New Roman"/>
          <w:color w:val="000000"/>
          <w:sz w:val="28"/>
        </w:rPr>
        <w:t xml:space="preserve">Она расположена на ветке, соединяющей г. Ростов-на-Дону и г. Волгоград. </w:t>
      </w:r>
    </w:p>
    <w:p w14:paraId="3E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Обливском районе зарегистрированы и действуют д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а автотранспортных предприятия: МУП «Транс-Сервис» и ОАО «Обливскагропромтранс». </w:t>
      </w:r>
    </w:p>
    <w:p w14:paraId="3F01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4001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Социальная инфраструктура.</w:t>
      </w:r>
    </w:p>
    <w:p w14:paraId="4101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42010000">
      <w:pPr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Социальная инфраструктура </w:t>
      </w:r>
      <w:r>
        <w:rPr>
          <w:rFonts w:ascii="Times New Roman" w:hAnsi="Times New Roman"/>
          <w:color w:val="000000"/>
          <w:sz w:val="28"/>
        </w:rPr>
        <w:t>Обливского района</w:t>
      </w:r>
      <w:r>
        <w:rPr>
          <w:rFonts w:ascii="Times New Roman" w:hAnsi="Times New Roman"/>
          <w:color w:val="000000"/>
          <w:sz w:val="28"/>
        </w:rPr>
        <w:t xml:space="preserve"> ориентирована на всестороннее развитие человеческого капитала.</w:t>
      </w:r>
    </w:p>
    <w:p w14:paraId="43010000">
      <w:pPr>
        <w:spacing w:after="0" w:line="240" w:lineRule="auto"/>
        <w:ind w:firstLine="709" w:left="0"/>
        <w:jc w:val="both"/>
        <w:rPr>
          <w:rFonts w:ascii="Times New Roman" w:hAnsi="Times New Roman"/>
          <w:color w:val="FB290D"/>
          <w:sz w:val="28"/>
        </w:rPr>
      </w:pPr>
      <w:r>
        <w:rPr>
          <w:rFonts w:ascii="Times New Roman" w:hAnsi="Times New Roman"/>
          <w:color w:val="000000"/>
          <w:sz w:val="28"/>
        </w:rPr>
        <w:t>Медицинские услуги на территории  района оказывают:</w:t>
      </w:r>
      <w:r>
        <w:rPr>
          <w:rFonts w:ascii="Times New Roman" w:hAnsi="Times New Roman"/>
          <w:color w:val="FB290D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5 фельдшерско-акушерских пунктов, </w:t>
      </w:r>
      <w:r>
        <w:rPr>
          <w:rFonts w:ascii="Times New Roman" w:hAnsi="Times New Roman"/>
          <w:color w:themeColor="text1" w:val="000000"/>
          <w:sz w:val="28"/>
        </w:rPr>
        <w:t>1</w:t>
      </w:r>
      <w:r>
        <w:rPr>
          <w:rFonts w:ascii="Times New Roman" w:hAnsi="Times New Roman"/>
          <w:color w:themeColor="text1" w:val="000000"/>
          <w:sz w:val="28"/>
        </w:rPr>
        <w:t>2 фельдшерских  здравпунктов, Каштановская врачебная  амбулатория, поликлиника, стоматология.</w:t>
      </w:r>
    </w:p>
    <w:p w14:paraId="44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Укомплектованность врачами </w:t>
      </w:r>
      <w:r>
        <w:rPr>
          <w:rFonts w:ascii="Times New Roman" w:hAnsi="Times New Roman"/>
          <w:color w:themeColor="text1" w:val="000000"/>
          <w:sz w:val="28"/>
        </w:rPr>
        <w:t>Обливской</w:t>
      </w:r>
      <w:r>
        <w:rPr>
          <w:rFonts w:ascii="Times New Roman" w:hAnsi="Times New Roman"/>
          <w:color w:themeColor="text1" w:val="000000"/>
          <w:sz w:val="28"/>
        </w:rPr>
        <w:t xml:space="preserve"> ЦРБ на 10 тыс</w:t>
      </w:r>
      <w:r>
        <w:rPr>
          <w:rFonts w:ascii="Times New Roman" w:hAnsi="Times New Roman"/>
          <w:color w:themeColor="text1" w:val="000000"/>
          <w:sz w:val="28"/>
        </w:rPr>
        <w:t>.</w:t>
      </w:r>
      <w:r>
        <w:rPr>
          <w:rFonts w:ascii="Times New Roman" w:hAnsi="Times New Roman"/>
          <w:color w:themeColor="text1" w:val="000000"/>
          <w:sz w:val="28"/>
        </w:rPr>
        <w:t xml:space="preserve"> населения </w:t>
      </w:r>
      <w:r>
        <w:rPr>
          <w:rFonts w:ascii="Times New Roman" w:hAnsi="Times New Roman"/>
          <w:color w:themeColor="text1" w:val="000000"/>
          <w:sz w:val="28"/>
        </w:rPr>
        <w:t xml:space="preserve">по состоянию на </w:t>
      </w:r>
      <w:r>
        <w:rPr>
          <w:rFonts w:ascii="Times New Roman" w:hAnsi="Times New Roman"/>
          <w:color w:themeColor="text1" w:val="000000"/>
          <w:sz w:val="28"/>
        </w:rPr>
        <w:t>3</w:t>
      </w:r>
      <w:r>
        <w:rPr>
          <w:rFonts w:ascii="Times New Roman" w:hAnsi="Times New Roman"/>
          <w:color w:themeColor="text1" w:val="000000"/>
          <w:sz w:val="28"/>
        </w:rPr>
        <w:t xml:space="preserve">1 </w:t>
      </w:r>
      <w:r>
        <w:rPr>
          <w:rFonts w:ascii="Times New Roman" w:hAnsi="Times New Roman"/>
          <w:color w:themeColor="text1" w:val="000000"/>
          <w:sz w:val="28"/>
        </w:rPr>
        <w:t>дека</w:t>
      </w:r>
      <w:r>
        <w:rPr>
          <w:rFonts w:ascii="Times New Roman" w:hAnsi="Times New Roman"/>
          <w:color w:themeColor="text1" w:val="000000"/>
          <w:sz w:val="28"/>
        </w:rPr>
        <w:t xml:space="preserve">бря 2024 года </w:t>
      </w:r>
      <w:r>
        <w:rPr>
          <w:rFonts w:ascii="Times New Roman" w:hAnsi="Times New Roman"/>
          <w:color w:themeColor="text1" w:val="000000"/>
          <w:sz w:val="28"/>
        </w:rPr>
        <w:t>составляет 1</w:t>
      </w:r>
      <w:r>
        <w:rPr>
          <w:rFonts w:ascii="Times New Roman" w:hAnsi="Times New Roman"/>
          <w:color w:themeColor="text1" w:val="000000"/>
          <w:sz w:val="28"/>
        </w:rPr>
        <w:t>7</w:t>
      </w:r>
      <w:r>
        <w:rPr>
          <w:rFonts w:ascii="Times New Roman" w:hAnsi="Times New Roman"/>
          <w:color w:themeColor="text1" w:val="000000"/>
          <w:sz w:val="28"/>
        </w:rPr>
        <w:t>,9</w:t>
      </w:r>
      <w:r>
        <w:rPr>
          <w:rFonts w:ascii="Times New Roman" w:hAnsi="Times New Roman"/>
          <w:color w:themeColor="text1" w:val="000000"/>
          <w:sz w:val="28"/>
        </w:rPr>
        <w:t>4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 xml:space="preserve">при </w:t>
      </w:r>
      <w:r>
        <w:rPr>
          <w:rFonts w:ascii="Times New Roman" w:hAnsi="Times New Roman"/>
          <w:color w:themeColor="text1" w:val="000000"/>
          <w:sz w:val="28"/>
        </w:rPr>
        <w:t>целево</w:t>
      </w:r>
      <w:r>
        <w:rPr>
          <w:rFonts w:ascii="Times New Roman" w:hAnsi="Times New Roman"/>
          <w:color w:themeColor="text1" w:val="000000"/>
          <w:sz w:val="28"/>
        </w:rPr>
        <w:t>м</w:t>
      </w:r>
      <w:r>
        <w:rPr>
          <w:rFonts w:ascii="Times New Roman" w:hAnsi="Times New Roman"/>
          <w:color w:themeColor="text1" w:val="000000"/>
          <w:sz w:val="28"/>
        </w:rPr>
        <w:t xml:space="preserve"> значени</w:t>
      </w:r>
      <w:r>
        <w:rPr>
          <w:rFonts w:ascii="Times New Roman" w:hAnsi="Times New Roman"/>
          <w:color w:themeColor="text1" w:val="000000"/>
          <w:sz w:val="28"/>
        </w:rPr>
        <w:t>и</w:t>
      </w:r>
      <w:r>
        <w:rPr>
          <w:rFonts w:ascii="Times New Roman" w:hAnsi="Times New Roman"/>
          <w:color w:themeColor="text1" w:val="000000"/>
          <w:sz w:val="28"/>
        </w:rPr>
        <w:t xml:space="preserve"> 29,9. </w:t>
      </w:r>
      <w:r>
        <w:rPr>
          <w:rFonts w:ascii="Times New Roman" w:hAnsi="Times New Roman"/>
          <w:color w:themeColor="text1" w:val="000000"/>
          <w:sz w:val="28"/>
        </w:rPr>
        <w:t xml:space="preserve">С целью увеличения показателя укомплектованности врачебными кадрами в 2024 </w:t>
      </w:r>
      <w:r>
        <w:rPr>
          <w:rFonts w:ascii="Times New Roman" w:hAnsi="Times New Roman"/>
          <w:color w:themeColor="text1" w:val="000000"/>
          <w:sz w:val="28"/>
        </w:rPr>
        <w:t xml:space="preserve">году по целевому набору проходят обучение в </w:t>
      </w:r>
      <w:r>
        <w:rPr>
          <w:rFonts w:ascii="Times New Roman" w:hAnsi="Times New Roman"/>
          <w:color w:themeColor="text1" w:val="000000"/>
          <w:sz w:val="28"/>
        </w:rPr>
        <w:t>м</w:t>
      </w:r>
      <w:r>
        <w:rPr>
          <w:rFonts w:ascii="Times New Roman" w:hAnsi="Times New Roman"/>
          <w:color w:themeColor="text1" w:val="000000"/>
          <w:sz w:val="28"/>
        </w:rPr>
        <w:t xml:space="preserve">едицинских учреждениях г. Ростова-на-Дону 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5</w:t>
      </w:r>
      <w:r>
        <w:rPr>
          <w:rFonts w:ascii="Times New Roman" w:hAnsi="Times New Roman"/>
          <w:color w:themeColor="text1" w:val="000000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молодых специалист</w:t>
      </w:r>
      <w:r>
        <w:rPr>
          <w:rFonts w:ascii="Times New Roman" w:hAnsi="Times New Roman"/>
          <w:color w:themeColor="text1" w:val="000000"/>
          <w:sz w:val="28"/>
        </w:rPr>
        <w:t>ов</w:t>
      </w:r>
      <w:r>
        <w:rPr>
          <w:rFonts w:ascii="Times New Roman" w:hAnsi="Times New Roman"/>
          <w:color w:themeColor="text1" w:val="000000"/>
          <w:sz w:val="28"/>
        </w:rPr>
        <w:t>.</w:t>
      </w:r>
    </w:p>
    <w:p w14:paraId="45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Регулярно специалисты ЦРБ участвуют в ярмарках вакансий с целью привлечения молодых специалистов из Ростовской и Волгоградской областей.</w:t>
      </w:r>
    </w:p>
    <w:p w14:paraId="4601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 районе имеются четыре муниципальные квартиры для медицинского персонала. Кроме того, врачам-специалистам дается право выбора жилья, наем которого оплачивается за счет собственных средств ЦРБ.</w:t>
      </w:r>
    </w:p>
    <w:p w14:paraId="4701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Приоритетными направлениями развития в сфере образования в 2020- 2025 году стали: обеспечение качественного образовательного процесса в  муниципальных образовательных организациях Обливского района, безопасной, комфортной образовательной среды, современных условий обучения,  рациональное использование финансовых и материальных ресурсов для укрепления материально-технической базы учреждений. </w:t>
      </w:r>
    </w:p>
    <w:p w14:paraId="4801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Система образования в 2024-2025 учебном году включает 12 школ, в которых обучается 1642 учащихся; 3 детских садах и 9 дошкольных группах при школах, где  получают образование более 430 воспитанников.  Отсутствует актуальная очередь в </w:t>
      </w:r>
      <w:r>
        <w:rPr>
          <w:rFonts w:ascii="Times New Roman" w:hAnsi="Times New Roman"/>
          <w:color w:themeColor="text1" w:val="000000"/>
          <w:sz w:val="28"/>
        </w:rPr>
        <w:t>дошкольные учреждения. Обеспеченность услугой  составляет 100%.</w:t>
      </w:r>
    </w:p>
    <w:p w14:paraId="4901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</w:t>
      </w:r>
      <w:r>
        <w:rPr>
          <w:rFonts w:ascii="Times New Roman" w:hAnsi="Times New Roman"/>
          <w:color w:themeColor="text1" w:val="000000"/>
          <w:sz w:val="28"/>
        </w:rPr>
        <w:t>р</w:t>
      </w:r>
      <w:r>
        <w:rPr>
          <w:rFonts w:ascii="Times New Roman" w:hAnsi="Times New Roman"/>
          <w:color w:themeColor="text1" w:val="000000"/>
          <w:sz w:val="28"/>
        </w:rPr>
        <w:t xml:space="preserve">ограммы дополнительного образования реализуются в 3 учреждениях дополнительного образования, 6 школах и 2 детских садах, имеющих лицензии на право реализации дополнительных общеразвивающих программ. </w:t>
      </w:r>
    </w:p>
    <w:p w14:paraId="4A010000">
      <w:pPr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val="000000"/>
          <w:sz w:val="28"/>
        </w:rPr>
        <w:t>Глуб</w:t>
      </w:r>
      <w:r>
        <w:rPr>
          <w:rFonts w:ascii="Times New Roman" w:hAnsi="Times New Roman"/>
          <w:color w:val="000000"/>
          <w:sz w:val="28"/>
        </w:rPr>
        <w:t>окие культурные традиции района</w:t>
      </w:r>
      <w:r>
        <w:rPr>
          <w:rFonts w:ascii="Times New Roman" w:hAnsi="Times New Roman"/>
          <w:color w:val="000000"/>
          <w:sz w:val="28"/>
        </w:rPr>
        <w:t xml:space="preserve"> нашли свое </w:t>
      </w:r>
      <w:r>
        <w:rPr>
          <w:rFonts w:ascii="Times New Roman" w:hAnsi="Times New Roman"/>
          <w:color w:val="000000"/>
          <w:sz w:val="28"/>
        </w:rPr>
        <w:t>отражение в развитии</w:t>
      </w:r>
      <w:r>
        <w:rPr>
          <w:rFonts w:ascii="Times New Roman" w:hAnsi="Times New Roman"/>
          <w:color w:val="000000"/>
          <w:sz w:val="28"/>
        </w:rPr>
        <w:t xml:space="preserve"> сети учреждений культуры, которая </w:t>
      </w:r>
      <w:r>
        <w:rPr>
          <w:rFonts w:ascii="Times New Roman" w:hAnsi="Times New Roman"/>
          <w:color w:val="000000"/>
          <w:sz w:val="28"/>
        </w:rPr>
        <w:t xml:space="preserve">включает в себя </w:t>
      </w:r>
      <w:r>
        <w:rPr>
          <w:rFonts w:ascii="Times New Roman" w:hAnsi="Times New Roman"/>
          <w:color w:val="000000"/>
          <w:sz w:val="28"/>
        </w:rPr>
        <w:t>32 учреждения, из них 11 – юридические лица. Услугами библиотек пользуются более 12 тысяч человек, ежегодно проводятся около 3 тысяч культурно-досуговых мероприятий, 88 музейных экскурсии и лекций. В  детской музыкальной школе обучается 151 человек по 8 направлениям.</w:t>
      </w:r>
    </w:p>
    <w:p w14:paraId="4B010000">
      <w:pPr>
        <w:keepNext w:val="1"/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i w:val="1"/>
          <w:color w:val="000000"/>
          <w:sz w:val="28"/>
        </w:rPr>
        <w:t>Социальная поддержка</w:t>
      </w:r>
      <w:r>
        <w:rPr>
          <w:rFonts w:ascii="Times New Roman" w:hAnsi="Times New Roman"/>
          <w:color w:val="000000"/>
          <w:sz w:val="28"/>
        </w:rPr>
        <w:t xml:space="preserve"> населения района осуществляется Отделом социальной защиты населения (ОСЗН) и Управлением пенсионного фонда РФ  в Обливском районе.</w:t>
      </w:r>
      <w:r>
        <w:rPr>
          <w:rFonts w:ascii="Times New Roman" w:hAnsi="Times New Roman"/>
          <w:color w:themeColor="text1" w:val="000000"/>
          <w:sz w:val="28"/>
        </w:rPr>
        <w:t>В Обливском районе четвертая часть населения пользуется мерами социальной поддержки.  Всего в районе предоставляется более 50 мер социальной поддержки, которыми охвачено около 5 тысяч человек.</w:t>
      </w:r>
    </w:p>
    <w:p w14:paraId="4C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 w:val="0"/>
          <w:i w:val="1"/>
          <w:color w:val="000000"/>
          <w:sz w:val="28"/>
        </w:rPr>
        <w:t>Социальная политика</w:t>
      </w:r>
      <w:r>
        <w:rPr>
          <w:rFonts w:ascii="Times New Roman" w:hAnsi="Times New Roman"/>
          <w:b w:val="0"/>
          <w:i w:val="1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района</w:t>
      </w:r>
      <w:r>
        <w:rPr>
          <w:rFonts w:ascii="Times New Roman" w:hAnsi="Times New Roman"/>
          <w:color w:val="000000"/>
          <w:sz w:val="28"/>
        </w:rPr>
        <w:t xml:space="preserve"> характеризуется активными действиями органов власти в рамках всех ключевых направлений социальной поддержки населения, в частности:</w:t>
      </w:r>
    </w:p>
    <w:p w14:paraId="4D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осуществляется активная господдержка граждан в приобретении жилья, в том числе за счет реализации региональных жилищных программ</w:t>
      </w:r>
      <w:r>
        <w:rPr>
          <w:rFonts w:ascii="Times New Roman" w:hAnsi="Times New Roman"/>
          <w:color w:val="000000"/>
          <w:sz w:val="28"/>
          <w:vertAlign w:val="superscript"/>
        </w:rPr>
        <w:footnoteReference w:id="1"/>
      </w:r>
      <w:r>
        <w:rPr>
          <w:rFonts w:ascii="Times New Roman" w:hAnsi="Times New Roman"/>
          <w:color w:val="000000"/>
          <w:sz w:val="28"/>
        </w:rPr>
        <w:t>;</w:t>
      </w:r>
    </w:p>
    <w:p w14:paraId="4E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действует комплекс мер по поддержке материнства и детства: 16 видов пособий и выплат (8 областных), в том числе ежемесячная выплата на третьего и последующих детей, региональный материнский капитал, единовременная выплата семьям в связи с рождением </w:t>
      </w:r>
      <w:r>
        <w:rPr>
          <w:rFonts w:ascii="Times New Roman" w:hAnsi="Times New Roman"/>
          <w:color w:val="000000"/>
          <w:sz w:val="28"/>
        </w:rPr>
        <w:t>одновременно трех и более детей,</w:t>
      </w: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8"/>
        </w:rPr>
        <w:t>помощь молодым семьям в улучшении жилищных условий</w:t>
      </w:r>
      <w:r>
        <w:rPr>
          <w:rFonts w:ascii="Times New Roman" w:hAnsi="Times New Roman"/>
          <w:color w:val="000000"/>
          <w:sz w:val="28"/>
          <w:vertAlign w:val="superscript"/>
        </w:rPr>
        <w:footnoteReference w:id="2"/>
      </w:r>
      <w:r>
        <w:rPr>
          <w:rFonts w:ascii="Times New Roman" w:hAnsi="Times New Roman"/>
          <w:color w:val="000000"/>
          <w:sz w:val="28"/>
        </w:rPr>
        <w:t>;</w:t>
      </w:r>
    </w:p>
    <w:p w14:paraId="4F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развита система поддержки молодежи по различным направлениям (поддержка детских и молодежных объединений, талантливой молодежи, </w:t>
      </w:r>
      <w:r>
        <w:rPr>
          <w:rFonts w:ascii="Times New Roman" w:hAnsi="Times New Roman"/>
          <w:color w:val="000000"/>
          <w:sz w:val="28"/>
        </w:rPr>
        <w:t>и др.);</w:t>
      </w:r>
    </w:p>
    <w:p w14:paraId="50010000">
      <w:pPr>
        <w:tabs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активно поддерживается художественно-творческая деятельность</w:t>
      </w:r>
      <w:r>
        <w:rPr>
          <w:rFonts w:ascii="Times New Roman" w:hAnsi="Times New Roman"/>
          <w:color w:val="000000"/>
          <w:sz w:val="28"/>
        </w:rPr>
        <w:t>.</w:t>
      </w:r>
    </w:p>
    <w:p w14:paraId="5101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Спортивная инфраструктура Обливского района включает 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58 спортивных сооружений. По итогам 2025 года уровень обеспеченности населения спортивными </w:t>
      </w:r>
      <w:r>
        <w:rPr>
          <w:rFonts w:ascii="Times New Roman" w:hAnsi="Times New Roman"/>
          <w:color w:val="000000"/>
          <w:sz w:val="28"/>
        </w:rPr>
        <w:t xml:space="preserve">сооружениями составил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108,7 процентов.</w:t>
      </w:r>
    </w:p>
    <w:p w14:paraId="5201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53010000">
      <w:bookmarkStart w:id="11" w:name="__RefHeading___11"/>
      <w:bookmarkEnd w:id="11"/>
      <w:pPr>
        <w:pStyle w:val="Style_8"/>
      </w:pPr>
      <w:r>
        <w:t>2.3.5. Торговля и потребительский рынок</w:t>
      </w:r>
    </w:p>
    <w:p w14:paraId="54010000">
      <w:pPr>
        <w:pStyle w:val="Style_9"/>
      </w:pPr>
    </w:p>
    <w:p w14:paraId="55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Потребит</w:t>
      </w:r>
      <w:r>
        <w:rPr>
          <w:rFonts w:ascii="Times New Roman" w:hAnsi="Times New Roman"/>
          <w:color w:val="000000"/>
          <w:sz w:val="28"/>
        </w:rPr>
        <w:t xml:space="preserve">ельский рынок </w:t>
      </w:r>
      <w:r>
        <w:rPr>
          <w:rFonts w:ascii="Times New Roman" w:hAnsi="Times New Roman"/>
          <w:color w:val="000000"/>
          <w:sz w:val="28"/>
        </w:rPr>
        <w:t>Обливского</w:t>
      </w:r>
      <w:r>
        <w:rPr>
          <w:rFonts w:ascii="Times New Roman" w:hAnsi="Times New Roman"/>
          <w:color w:val="000000"/>
          <w:sz w:val="28"/>
        </w:rPr>
        <w:t xml:space="preserve"> района</w:t>
      </w:r>
      <w:r>
        <w:rPr>
          <w:rFonts w:ascii="Times New Roman" w:hAnsi="Times New Roman"/>
          <w:color w:val="000000"/>
          <w:sz w:val="28"/>
        </w:rPr>
        <w:t xml:space="preserve"> –</w:t>
      </w:r>
      <w:r>
        <w:rPr>
          <w:rFonts w:ascii="Times New Roman" w:hAnsi="Times New Roman"/>
          <w:color w:val="000000"/>
          <w:sz w:val="28"/>
        </w:rPr>
        <w:t xml:space="preserve"> является стабильным с высокими темпами развития материально-технической базы и уровнем насыщенности товарами и услугами. По итогам 2025 года оборот розничной торговли </w:t>
      </w:r>
      <w:r>
        <w:rPr>
          <w:rFonts w:ascii="Times New Roman" w:hAnsi="Times New Roman"/>
          <w:color w:val="000000"/>
          <w:sz w:val="28"/>
        </w:rPr>
        <w:t xml:space="preserve">составил </w:t>
      </w:r>
      <w:r>
        <w:rPr>
          <w:rFonts w:ascii="Times New Roman" w:hAnsi="Times New Roman"/>
          <w:color w:val="000000"/>
          <w:sz w:val="28"/>
        </w:rPr>
        <w:t xml:space="preserve">2 150,4 </w:t>
      </w:r>
      <w:r>
        <w:rPr>
          <w:rFonts w:ascii="Times New Roman" w:hAnsi="Times New Roman"/>
          <w:color w:val="000000"/>
          <w:sz w:val="28"/>
        </w:rPr>
        <w:t>млн. рублей</w:t>
      </w:r>
      <w:r>
        <w:rPr>
          <w:rFonts w:ascii="Times New Roman" w:hAnsi="Times New Roman"/>
          <w:color w:val="000000"/>
          <w:sz w:val="28"/>
        </w:rPr>
        <w:t>.</w:t>
      </w:r>
    </w:p>
    <w:p w14:paraId="56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 данным на 01.01.2026</w:t>
      </w:r>
      <w:r>
        <w:rPr>
          <w:rFonts w:ascii="Times New Roman" w:hAnsi="Times New Roman"/>
          <w:color w:val="000000"/>
          <w:sz w:val="28"/>
        </w:rPr>
        <w:t xml:space="preserve"> количество хозяйствующих</w:t>
      </w:r>
      <w:r>
        <w:rPr>
          <w:rFonts w:ascii="Times New Roman" w:hAnsi="Times New Roman"/>
          <w:color w:val="000000"/>
          <w:sz w:val="28"/>
        </w:rPr>
        <w:t xml:space="preserve"> субъектов, зарегистрированных в едином государственном реестре юридических лиц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едином государственном реестре индивидуальных предпринимателей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на территории </w:t>
      </w:r>
      <w:r>
        <w:rPr>
          <w:rFonts w:ascii="Times New Roman" w:hAnsi="Times New Roman"/>
          <w:color w:val="000000"/>
          <w:sz w:val="28"/>
        </w:rPr>
        <w:t>Обливского</w:t>
      </w:r>
      <w:r>
        <w:rPr>
          <w:rFonts w:ascii="Times New Roman" w:hAnsi="Times New Roman"/>
          <w:color w:val="000000"/>
          <w:sz w:val="28"/>
        </w:rPr>
        <w:t xml:space="preserve"> района </w:t>
      </w:r>
      <w:r>
        <w:rPr>
          <w:rFonts w:ascii="Times New Roman" w:hAnsi="Times New Roman"/>
          <w:color w:val="000000"/>
          <w:sz w:val="28"/>
        </w:rPr>
        <w:t>485 объектов.</w:t>
      </w:r>
    </w:p>
    <w:p w14:paraId="57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Обливский</w:t>
      </w:r>
      <w:r>
        <w:rPr>
          <w:rFonts w:ascii="Times New Roman" w:hAnsi="Times New Roman"/>
          <w:color w:val="000000"/>
          <w:sz w:val="28"/>
        </w:rPr>
        <w:t xml:space="preserve"> район</w:t>
      </w:r>
      <w:r>
        <w:rPr>
          <w:rFonts w:ascii="Times New Roman" w:hAnsi="Times New Roman"/>
          <w:color w:val="000000"/>
          <w:sz w:val="28"/>
        </w:rPr>
        <w:t xml:space="preserve"> характер</w:t>
      </w:r>
      <w:r>
        <w:rPr>
          <w:rFonts w:ascii="Times New Roman" w:hAnsi="Times New Roman"/>
          <w:color w:val="000000"/>
          <w:sz w:val="28"/>
        </w:rPr>
        <w:t xml:space="preserve">изуется развитой </w:t>
      </w:r>
      <w:r>
        <w:rPr>
          <w:rFonts w:ascii="Times New Roman" w:hAnsi="Times New Roman"/>
          <w:color w:val="000000"/>
          <w:sz w:val="28"/>
        </w:rPr>
        <w:t>многоформатной</w:t>
      </w:r>
      <w:r>
        <w:rPr>
          <w:rFonts w:ascii="Times New Roman" w:hAnsi="Times New Roman"/>
          <w:color w:val="000000"/>
          <w:sz w:val="28"/>
        </w:rPr>
        <w:t xml:space="preserve"> инфраструктурой </w:t>
      </w:r>
      <w:r>
        <w:rPr>
          <w:rFonts w:ascii="Times New Roman" w:hAnsi="Times New Roman"/>
          <w:color w:val="000000"/>
          <w:sz w:val="28"/>
        </w:rPr>
        <w:t xml:space="preserve">торговли, </w:t>
      </w:r>
      <w:r>
        <w:rPr>
          <w:rFonts w:ascii="Times New Roman" w:hAnsi="Times New Roman"/>
          <w:color w:val="000000"/>
          <w:sz w:val="28"/>
        </w:rPr>
        <w:t>обеспечивающей доступность и широкий ассортимент товаров</w:t>
      </w:r>
      <w:r>
        <w:rPr>
          <w:rFonts w:ascii="Times New Roman" w:hAnsi="Times New Roman"/>
          <w:color w:val="000000"/>
          <w:sz w:val="28"/>
        </w:rPr>
        <w:t>,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включающей в себя розничную и нестационарную торговлю, а также ярмарочные мероприятия. </w:t>
      </w:r>
    </w:p>
    <w:p w14:paraId="58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Ро</w:t>
      </w:r>
      <w:r>
        <w:rPr>
          <w:rFonts w:ascii="Times New Roman" w:hAnsi="Times New Roman"/>
          <w:color w:val="000000"/>
          <w:sz w:val="28"/>
        </w:rPr>
        <w:t>зничная торговая сеть в районе составляет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157 </w:t>
      </w:r>
      <w:r>
        <w:rPr>
          <w:rFonts w:ascii="Times New Roman" w:hAnsi="Times New Roman"/>
          <w:color w:val="000000"/>
          <w:sz w:val="28"/>
        </w:rPr>
        <w:t>тор</w:t>
      </w:r>
      <w:r>
        <w:rPr>
          <w:rFonts w:ascii="Times New Roman" w:hAnsi="Times New Roman"/>
          <w:color w:val="000000"/>
          <w:sz w:val="28"/>
        </w:rPr>
        <w:t xml:space="preserve">говых объектов, в том числе 18 </w:t>
      </w:r>
      <w:r>
        <w:rPr>
          <w:rFonts w:ascii="Times New Roman" w:hAnsi="Times New Roman"/>
          <w:color w:val="000000"/>
          <w:sz w:val="28"/>
        </w:rPr>
        <w:t xml:space="preserve">сетевых </w:t>
      </w:r>
      <w:r>
        <w:rPr>
          <w:rFonts w:ascii="Times New Roman" w:hAnsi="Times New Roman"/>
          <w:color w:val="000000"/>
          <w:sz w:val="28"/>
        </w:rPr>
        <w:t>магазино</w:t>
      </w:r>
      <w:r>
        <w:rPr>
          <w:rFonts w:ascii="Times New Roman" w:hAnsi="Times New Roman"/>
          <w:color w:val="000000"/>
          <w:sz w:val="28"/>
        </w:rPr>
        <w:t>в. Общая сумма торговых площадей с</w:t>
      </w:r>
      <w:r>
        <w:rPr>
          <w:rFonts w:ascii="Times New Roman" w:hAnsi="Times New Roman"/>
          <w:color w:val="000000"/>
          <w:sz w:val="28"/>
        </w:rPr>
        <w:t xml:space="preserve">оставляет </w:t>
      </w:r>
      <w:r>
        <w:rPr>
          <w:rFonts w:ascii="Times New Roman" w:hAnsi="Times New Roman"/>
          <w:color w:val="000000"/>
          <w:sz w:val="28"/>
        </w:rPr>
        <w:t>12738,2 кв. метров.</w:t>
      </w:r>
    </w:p>
    <w:p w14:paraId="59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территории </w:t>
      </w:r>
      <w:r>
        <w:rPr>
          <w:rFonts w:ascii="Times New Roman" w:hAnsi="Times New Roman"/>
          <w:color w:val="000000"/>
          <w:sz w:val="28"/>
        </w:rPr>
        <w:t>Обливского</w:t>
      </w:r>
      <w:r>
        <w:rPr>
          <w:rFonts w:ascii="Times New Roman" w:hAnsi="Times New Roman"/>
          <w:color w:val="000000"/>
          <w:sz w:val="28"/>
        </w:rPr>
        <w:t xml:space="preserve"> района представлена известная</w:t>
      </w:r>
      <w:r>
        <w:rPr>
          <w:rFonts w:ascii="Times New Roman" w:hAnsi="Times New Roman"/>
          <w:color w:val="000000"/>
          <w:sz w:val="28"/>
        </w:rPr>
        <w:t xml:space="preserve"> ме</w:t>
      </w:r>
      <w:r>
        <w:rPr>
          <w:rFonts w:ascii="Times New Roman" w:hAnsi="Times New Roman"/>
          <w:color w:val="000000"/>
          <w:sz w:val="28"/>
        </w:rPr>
        <w:t>ждународная торговая сеть, как</w:t>
      </w:r>
      <w:r>
        <w:rPr>
          <w:rFonts w:ascii="Times New Roman" w:hAnsi="Times New Roman"/>
          <w:color w:val="000000"/>
          <w:sz w:val="28"/>
        </w:rPr>
        <w:t xml:space="preserve"> «</w:t>
      </w:r>
      <w:r>
        <w:rPr>
          <w:rFonts w:ascii="Times New Roman" w:hAnsi="Times New Roman"/>
          <w:color w:val="000000"/>
          <w:sz w:val="28"/>
        </w:rPr>
        <w:t>Fix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P</w:t>
      </w:r>
      <w:r>
        <w:rPr>
          <w:rFonts w:ascii="Times New Roman" w:hAnsi="Times New Roman"/>
          <w:color w:val="000000"/>
          <w:sz w:val="28"/>
        </w:rPr>
        <w:t>rice</w:t>
      </w:r>
      <w:r>
        <w:rPr>
          <w:rFonts w:ascii="Times New Roman" w:hAnsi="Times New Roman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 xml:space="preserve">, а также крупнейшие федеральные сети – «Магнит», </w:t>
      </w:r>
      <w:r>
        <w:rPr>
          <w:rFonts w:ascii="Times New Roman" w:hAnsi="Times New Roman"/>
          <w:color w:val="000000"/>
          <w:sz w:val="28"/>
        </w:rPr>
        <w:t>«Пятерочка», «Чижик», «Красное и Белое»</w:t>
      </w:r>
      <w:r>
        <w:rPr>
          <w:rFonts w:ascii="Times New Roman" w:hAnsi="Times New Roman"/>
          <w:color w:val="000000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В условиях высокой ко</w:t>
      </w:r>
      <w:r>
        <w:rPr>
          <w:rFonts w:ascii="Times New Roman" w:hAnsi="Times New Roman"/>
          <w:color w:val="000000"/>
          <w:sz w:val="28"/>
        </w:rPr>
        <w:t>нкуренции развивается региональная торговая сет.</w:t>
      </w:r>
      <w:r>
        <w:rPr>
          <w:rFonts w:ascii="Times New Roman" w:hAnsi="Times New Roman"/>
          <w:color w:val="000000"/>
          <w:sz w:val="28"/>
        </w:rPr>
        <w:t>:</w:t>
      </w:r>
      <w:r>
        <w:rPr>
          <w:rFonts w:ascii="Times New Roman" w:hAnsi="Times New Roman"/>
          <w:color w:val="000000"/>
          <w:sz w:val="28"/>
        </w:rPr>
        <w:t xml:space="preserve"> «33 курицы».</w:t>
      </w:r>
    </w:p>
    <w:p w14:paraId="5A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условиях активного развития электронной коммерции наращив</w:t>
      </w:r>
      <w:r>
        <w:rPr>
          <w:rFonts w:ascii="Times New Roman" w:hAnsi="Times New Roman"/>
          <w:color w:val="000000"/>
          <w:sz w:val="28"/>
        </w:rPr>
        <w:t xml:space="preserve">ают свое присутствие в районе </w:t>
      </w:r>
      <w:r>
        <w:rPr>
          <w:rFonts w:ascii="Times New Roman" w:hAnsi="Times New Roman"/>
          <w:color w:val="000000"/>
          <w:sz w:val="28"/>
        </w:rPr>
        <w:t xml:space="preserve">крупнейшие российские </w:t>
      </w:r>
      <w:r>
        <w:rPr>
          <w:rFonts w:ascii="Times New Roman" w:hAnsi="Times New Roman"/>
          <w:color w:val="000000"/>
          <w:sz w:val="28"/>
        </w:rPr>
        <w:t>маркетплейсы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Wildberries</w:t>
      </w:r>
      <w:r>
        <w:rPr>
          <w:rFonts w:ascii="Times New Roman" w:hAnsi="Times New Roman"/>
          <w:color w:val="000000"/>
          <w:sz w:val="28"/>
        </w:rPr>
        <w:t xml:space="preserve"> и OZON.</w:t>
      </w:r>
    </w:p>
    <w:p w14:paraId="5B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Сфера </w:t>
      </w:r>
      <w:r>
        <w:rPr>
          <w:rFonts w:ascii="Times New Roman" w:hAnsi="Times New Roman"/>
          <w:color w:val="000000"/>
          <w:sz w:val="28"/>
        </w:rPr>
        <w:t>общественно</w:t>
      </w:r>
      <w:r>
        <w:rPr>
          <w:rFonts w:ascii="Times New Roman" w:hAnsi="Times New Roman"/>
          <w:color w:val="000000"/>
          <w:sz w:val="28"/>
        </w:rPr>
        <w:t xml:space="preserve">го питания представлена 18 объектов, из которых 9 </w:t>
      </w:r>
      <w:r>
        <w:rPr>
          <w:rFonts w:ascii="Times New Roman" w:hAnsi="Times New Roman"/>
          <w:color w:val="000000"/>
          <w:sz w:val="28"/>
        </w:rPr>
        <w:t>объектов открытой сети</w:t>
      </w:r>
      <w:r>
        <w:rPr>
          <w:rFonts w:ascii="Times New Roman" w:hAnsi="Times New Roman"/>
          <w:color w:val="CF543F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>В 2024</w:t>
      </w:r>
      <w:r>
        <w:rPr>
          <w:rFonts w:ascii="Times New Roman" w:hAnsi="Times New Roman"/>
          <w:color w:val="000000"/>
          <w:sz w:val="28"/>
        </w:rPr>
        <w:t xml:space="preserve">-2025 годах </w:t>
      </w:r>
      <w:r>
        <w:rPr>
          <w:rFonts w:ascii="Times New Roman" w:hAnsi="Times New Roman"/>
          <w:color w:val="000000"/>
          <w:sz w:val="28"/>
        </w:rPr>
        <w:t xml:space="preserve">звание «Лучший работник общественного питания Дона» присвоено </w:t>
      </w:r>
      <w:r>
        <w:rPr>
          <w:rFonts w:ascii="Times New Roman" w:hAnsi="Times New Roman"/>
          <w:color w:val="000000"/>
          <w:sz w:val="28"/>
        </w:rPr>
        <w:t>2 индивидуальным предпринимателям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Обливского</w:t>
      </w:r>
      <w:r>
        <w:rPr>
          <w:rFonts w:ascii="Times New Roman" w:hAnsi="Times New Roman"/>
          <w:color w:val="000000"/>
          <w:sz w:val="28"/>
        </w:rPr>
        <w:t xml:space="preserve"> района</w:t>
      </w:r>
      <w:r>
        <w:rPr>
          <w:rFonts w:ascii="Times New Roman" w:hAnsi="Times New Roman"/>
          <w:color w:val="000000"/>
          <w:sz w:val="28"/>
        </w:rPr>
        <w:t>.</w:t>
      </w:r>
    </w:p>
    <w:p w14:paraId="5C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Сфера гостеприимства </w:t>
      </w:r>
      <w:r>
        <w:rPr>
          <w:rFonts w:ascii="Times New Roman" w:hAnsi="Times New Roman"/>
          <w:color w:val="000000"/>
          <w:sz w:val="28"/>
        </w:rPr>
        <w:t>Обливского</w:t>
      </w:r>
      <w:r>
        <w:rPr>
          <w:rFonts w:ascii="Times New Roman" w:hAnsi="Times New Roman"/>
          <w:color w:val="000000"/>
          <w:sz w:val="28"/>
        </w:rPr>
        <w:t xml:space="preserve"> района </w:t>
      </w:r>
      <w:r>
        <w:rPr>
          <w:rFonts w:ascii="Times New Roman" w:hAnsi="Times New Roman"/>
          <w:color w:val="000000"/>
          <w:sz w:val="28"/>
        </w:rPr>
        <w:t>предлагает 2 варианта</w:t>
      </w:r>
      <w:r>
        <w:rPr>
          <w:rFonts w:ascii="Times New Roman" w:hAnsi="Times New Roman"/>
          <w:color w:val="000000"/>
          <w:sz w:val="28"/>
        </w:rPr>
        <w:t xml:space="preserve"> для размещения</w:t>
      </w:r>
      <w:r>
        <w:rPr>
          <w:rFonts w:ascii="Times New Roman" w:hAnsi="Times New Roman"/>
          <w:color w:val="000000"/>
          <w:sz w:val="28"/>
        </w:rPr>
        <w:t>. Средний уровень в гостиничном сервисе поддерживает стабильность качества обслуживания, предсказуемости сервиса и баланса между доступностью и комфортом для целевой аудитории.</w:t>
      </w:r>
    </w:p>
    <w:p w14:paraId="5D010000">
      <w:bookmarkStart w:id="12" w:name="__RefHeading___12"/>
      <w:bookmarkEnd w:id="12"/>
      <w:pPr>
        <w:pStyle w:val="Style_8"/>
      </w:pPr>
      <w:r>
        <w:t>2.3.6. Финансовый сект</w:t>
      </w:r>
      <w:r>
        <w:t>ор</w:t>
      </w:r>
    </w:p>
    <w:p w14:paraId="5E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5F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01.05.2026 в Обливском районе локализовано 3 филиала кредитных организаций </w:t>
      </w:r>
      <w:r>
        <w:rPr>
          <w:rFonts w:ascii="Times New Roman" w:hAnsi="Times New Roman"/>
          <w:color w:val="000000"/>
          <w:sz w:val="28"/>
        </w:rPr>
        <w:t xml:space="preserve">  Сбербанк, РоссельхозБанк, ПАО КБ «Центр-Инвест», для удобства населения района установлено 6 банкоматов по станице Обливской.</w:t>
      </w:r>
    </w:p>
    <w:p w14:paraId="60010000">
      <w:bookmarkStart w:id="13" w:name="__RefHeading___13"/>
      <w:bookmarkEnd w:id="13"/>
      <w:pPr>
        <w:pStyle w:val="Style_8"/>
      </w:pPr>
      <w:r>
        <w:t>2.3.7. Институциональные условия и институты развития</w:t>
      </w:r>
    </w:p>
    <w:p w14:paraId="61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62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Ростовской области и в Обливском районе созданы институциональные условия </w:t>
      </w:r>
      <w:r>
        <w:rPr>
          <w:rFonts w:ascii="Times New Roman" w:hAnsi="Times New Roman"/>
          <w:color w:val="000000"/>
          <w:sz w:val="28"/>
        </w:rPr>
        <w:t>для устойчивого развития во всех сферах жизни региона и района, в том</w:t>
      </w:r>
      <w:r>
        <w:rPr>
          <w:rFonts w:ascii="Times New Roman" w:hAnsi="Times New Roman"/>
          <w:color w:val="000000"/>
          <w:sz w:val="28"/>
        </w:rPr>
        <w:t xml:space="preserve"> числе обеспечиваемые функционирующей в регионе экосистемой поддержки бизнеса. </w:t>
      </w:r>
    </w:p>
    <w:p w14:paraId="63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целях реализации экономической политики в Ростовской области функционирует система региональных институтов развития:</w:t>
      </w:r>
    </w:p>
    <w:p w14:paraId="64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Автономная некоммерческая организация – микрофинансова</w:t>
      </w:r>
      <w:r>
        <w:rPr>
          <w:rFonts w:ascii="Times New Roman" w:hAnsi="Times New Roman"/>
          <w:color w:val="000000"/>
          <w:sz w:val="28"/>
        </w:rPr>
        <w:t xml:space="preserve">я компания «Ростовское региональное агентство поддержки предпринимательства» (АНО МФК «РРАПП») осуществляет микрофинансовую деятельность (предоставление микрозаймов), оказывает информационные, консультационные </w:t>
      </w:r>
      <w:r>
        <w:rPr>
          <w:rFonts w:ascii="Times New Roman" w:hAnsi="Times New Roman"/>
          <w:color w:val="000000"/>
          <w:sz w:val="28"/>
        </w:rPr>
        <w:t>и образовательные услуги субъектам МСП.</w:t>
      </w:r>
    </w:p>
    <w:p w14:paraId="65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баз</w:t>
      </w:r>
      <w:r>
        <w:rPr>
          <w:rFonts w:ascii="Times New Roman" w:hAnsi="Times New Roman"/>
          <w:color w:val="000000"/>
          <w:sz w:val="28"/>
        </w:rPr>
        <w:t>е АНО МФК «РРАПП» созданы:</w:t>
      </w:r>
    </w:p>
    <w:p w14:paraId="6601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 центров «Мой бизнес», предоставляющих субъектам МСП поддержку по различным направлениям и вопросам ведения бизнеса. Центры «Мой бизнес» помогают предпринимателям на разных этапах развития своего дела сокращать издержки, оказыва</w:t>
      </w:r>
      <w:r>
        <w:rPr>
          <w:rFonts w:ascii="Times New Roman" w:hAnsi="Times New Roman"/>
          <w:color w:val="000000"/>
          <w:sz w:val="28"/>
        </w:rPr>
        <w:t>я бесплатно налоговые, юридические консультации, маркетинговое продвижение, размещение на маркетплейсах, проводят обучение. Также центры «Мой бизнес» являются точкой сбора деловых сообществ и площадкой института наставничества;</w:t>
      </w:r>
    </w:p>
    <w:p w14:paraId="6701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отдел кластерного развития, </w:t>
      </w:r>
      <w:r>
        <w:rPr>
          <w:rFonts w:ascii="Times New Roman" w:hAnsi="Times New Roman"/>
          <w:color w:val="000000"/>
          <w:sz w:val="28"/>
        </w:rPr>
        <w:t xml:space="preserve">который содействует интеграции малых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средних предприятий;</w:t>
      </w:r>
    </w:p>
    <w:p w14:paraId="6801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 территории Ростовской области и Обливского района осуществляет деятельность институт Уполномоченного по защите прав предпринимателей в Ростовской области.</w:t>
      </w:r>
    </w:p>
    <w:p w14:paraId="6901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Координацию политики Администрации Обливского района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по привлечению инвестиций реализует Совет по инвестициям при Главе Администрации Обливского района.</w:t>
      </w:r>
    </w:p>
    <w:p w14:paraId="6A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Комплекс финансовой поддержки инвесторов вклю</w:t>
      </w:r>
      <w:r>
        <w:rPr>
          <w:rFonts w:ascii="Times New Roman" w:hAnsi="Times New Roman"/>
          <w:color w:val="000000"/>
          <w:sz w:val="28"/>
        </w:rPr>
        <w:t xml:space="preserve">чает следующие инструменты: льготное налогообложение; субсидирование; содействие в сфере кредитования; имущественную поддержку; грантовую поддержку. Нефинансовые инструменты содержат административную, организационную, информационно-консультационную </w:t>
      </w:r>
      <w:r>
        <w:rPr>
          <w:rFonts w:ascii="Times New Roman" w:hAnsi="Times New Roman"/>
          <w:color w:val="000000"/>
          <w:sz w:val="28"/>
        </w:rPr>
        <w:t xml:space="preserve"> поддержку.</w:t>
      </w:r>
    </w:p>
    <w:p w14:paraId="6B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Обливском районе значительное внимание</w:t>
      </w:r>
      <w:r>
        <w:rPr>
          <w:rFonts w:ascii="Times New Roman" w:hAnsi="Times New Roman"/>
          <w:color w:val="000000"/>
          <w:sz w:val="28"/>
        </w:rPr>
        <w:t xml:space="preserve"> уделяется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поддержке малого и среднего предпринимательства. Основные формы поддержки </w:t>
      </w:r>
      <w:r>
        <w:rPr>
          <w:rFonts w:ascii="Times New Roman" w:hAnsi="Times New Roman"/>
          <w:color w:val="000000"/>
          <w:sz w:val="28"/>
        </w:rPr>
        <w:t xml:space="preserve">МСП </w:t>
      </w:r>
      <w:r>
        <w:rPr>
          <w:rFonts w:ascii="Times New Roman" w:hAnsi="Times New Roman"/>
          <w:color w:val="000000"/>
          <w:sz w:val="28"/>
        </w:rPr>
        <w:t xml:space="preserve">в Обливском районек включают имущественную,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финансовую, информационно-консультационную, поддержку.</w:t>
      </w:r>
    </w:p>
    <w:p w14:paraId="6C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Социальная политика района характеризуется активными действиями  в рамках всех ключевых направлений социальной поддержки населения, в частности:</w:t>
      </w:r>
    </w:p>
    <w:p w14:paraId="6D010000">
      <w:pPr>
        <w:widowControl w:val="0"/>
        <w:tabs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осуществляется активная господд</w:t>
      </w:r>
      <w:r>
        <w:rPr>
          <w:rFonts w:ascii="Times New Roman" w:hAnsi="Times New Roman"/>
          <w:color w:val="000000"/>
          <w:sz w:val="28"/>
        </w:rPr>
        <w:t xml:space="preserve">ержка граждан в приобретении жилья,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том числе за счет реализации региональных жилищных програм</w:t>
      </w:r>
      <w:r>
        <w:rPr>
          <w:rFonts w:ascii="Times New Roman" w:hAnsi="Times New Roman"/>
          <w:color w:val="000000"/>
          <w:sz w:val="28"/>
        </w:rPr>
        <w:t>м</w:t>
      </w:r>
      <w:r>
        <w:rPr>
          <w:rFonts w:ascii="Times New Roman" w:hAnsi="Times New Roman"/>
          <w:color w:val="000000"/>
          <w:sz w:val="28"/>
        </w:rPr>
        <w:t>;</w:t>
      </w:r>
    </w:p>
    <w:p w14:paraId="6E010000">
      <w:pPr>
        <w:widowControl w:val="0"/>
        <w:tabs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действует комплекс мер по поддержке материнства и детства: 12 видов мер </w:t>
      </w:r>
      <w:r>
        <w:rPr>
          <w:rFonts w:ascii="Times New Roman" w:hAnsi="Times New Roman"/>
          <w:color w:val="000000"/>
          <w:sz w:val="28"/>
        </w:rPr>
        <w:t>социальной поддержки (8 областных), в том числе меры социальной поддержки отдельных к</w:t>
      </w:r>
      <w:r>
        <w:rPr>
          <w:rFonts w:ascii="Times New Roman" w:hAnsi="Times New Roman"/>
          <w:color w:val="000000"/>
          <w:sz w:val="28"/>
        </w:rPr>
        <w:t>атегорий граждан в целях реализации региональной программы по повышению рождаемости, региональный материнский капитал без учета доходов в отношении детей, рожденных с 01.01.2025, единовременная выплата семьям в связи с рождением одновременно трех и более д</w:t>
      </w:r>
      <w:r>
        <w:rPr>
          <w:rFonts w:ascii="Times New Roman" w:hAnsi="Times New Roman"/>
          <w:color w:val="000000"/>
          <w:sz w:val="28"/>
        </w:rPr>
        <w:t>етей, помощь молодым семьям в улучшении жилищных условий;</w:t>
      </w:r>
    </w:p>
    <w:p w14:paraId="6F01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внедрены системы управления охраной труда в организациях Обливского района с учетом системных мероприятий по управлению профессиональными рисками на рабочих местах.</w:t>
      </w:r>
    </w:p>
    <w:p w14:paraId="7001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Пространственная политика района характеризуется мерами стимулирования развития инфраструктуры и сохранения природной среды.</w:t>
      </w:r>
    </w:p>
    <w:p w14:paraId="7101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сфере транспортной инфраструктуры в регионе особое внимание уделяется</w:t>
      </w:r>
      <w:r>
        <w:rPr>
          <w:rFonts w:ascii="Times New Roman" w:hAnsi="Times New Roman"/>
          <w:color w:val="000000"/>
          <w:sz w:val="28"/>
        </w:rPr>
        <w:t xml:space="preserve"> вопросам безопасности на автомобильных дорогах. В Ростовской области функционирует ГКУ РО «Центр безопасности дорожного движения», осуществляющее деятельность по сопровождению системы видеофиксации,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а также действует Комиссия по обеспечению безопасности д</w:t>
      </w:r>
      <w:r>
        <w:rPr>
          <w:rFonts w:ascii="Times New Roman" w:hAnsi="Times New Roman"/>
          <w:color w:val="000000"/>
          <w:sz w:val="28"/>
        </w:rPr>
        <w:t>орожного движения.</w:t>
      </w:r>
    </w:p>
    <w:p w14:paraId="72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сфере информационно-коммуникационной инфраструктуры применяются меры, направленные на обеспечение широкого и равного доступа к существующей инфраструктуре операторов связи и упрощение процедур присо</w:t>
      </w:r>
      <w:r>
        <w:rPr>
          <w:rFonts w:ascii="Times New Roman" w:hAnsi="Times New Roman"/>
          <w:color w:val="000000"/>
          <w:sz w:val="28"/>
        </w:rPr>
        <w:t>единения и ввода в эксплуатацию объектов связи.</w:t>
      </w:r>
    </w:p>
    <w:p w14:paraId="73010000">
      <w:pPr>
        <w:pStyle w:val="Style_8"/>
        <w:widowControl w:val="0"/>
        <w:spacing w:before="0" w:line="240" w:lineRule="auto"/>
        <w:ind/>
        <w:rPr>
          <w:rFonts w:ascii="Times New Roman" w:hAnsi="Times New Roman"/>
          <w:color w:val="000000"/>
        </w:rPr>
      </w:pPr>
    </w:p>
    <w:p w14:paraId="74010000">
      <w:bookmarkStart w:id="14" w:name="__RefHeading___14"/>
      <w:bookmarkEnd w:id="14"/>
      <w:pPr>
        <w:pStyle w:val="Style_8"/>
        <w:widowControl w:val="0"/>
        <w:spacing w:before="0" w:line="240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2.4. Основные итоги </w:t>
      </w:r>
    </w:p>
    <w:p w14:paraId="75010000">
      <w:bookmarkStart w:id="15" w:name="__RefHeading___15"/>
      <w:bookmarkEnd w:id="15"/>
      <w:pPr>
        <w:pStyle w:val="Style_8"/>
        <w:widowControl w:val="0"/>
        <w:spacing w:before="0" w:line="240" w:lineRule="auto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социально-экономического развития в 2020 – 2025 годах</w:t>
      </w:r>
    </w:p>
    <w:p w14:paraId="76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77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Интегральными показател</w:t>
      </w:r>
      <w:r>
        <w:rPr>
          <w:rFonts w:ascii="Times New Roman" w:hAnsi="Times New Roman"/>
          <w:color w:val="000000"/>
          <w:sz w:val="28"/>
        </w:rPr>
        <w:t xml:space="preserve">ями, отражающими итоги и успехи социально-экономического развития на муниципальном уровне, являются такие,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как численность населения, ожидаемая продолжительность жизни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при рождении,  инвестиции в основной капитал,среднемесячная начисленная заработная плата</w:t>
      </w:r>
      <w:r>
        <w:rPr>
          <w:rFonts w:ascii="Times New Roman" w:hAnsi="Times New Roman"/>
          <w:color w:val="000000"/>
          <w:sz w:val="28"/>
        </w:rPr>
        <w:t xml:space="preserve">, масштаб и динамика которых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во многом </w:t>
      </w:r>
      <w:r>
        <w:rPr>
          <w:rFonts w:ascii="Times New Roman" w:hAnsi="Times New Roman"/>
          <w:color w:val="000000"/>
          <w:sz w:val="28"/>
        </w:rPr>
        <w:t>обуславливают потенциал и перспективы стратегического развития района.</w:t>
      </w:r>
    </w:p>
    <w:p w14:paraId="78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Общая динамика прироста (убыли) численности постоянного населения Обливского района и смертности населения от всех прич</w:t>
      </w:r>
      <w:r>
        <w:rPr>
          <w:rFonts w:ascii="Times New Roman" w:hAnsi="Times New Roman"/>
          <w:color w:val="000000"/>
          <w:sz w:val="28"/>
        </w:rPr>
        <w:t xml:space="preserve">ин (на 1000 населения) в 2020 – 2025 годах, в том числе с учетом плановых значений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2024 года, представлена в таблице № 1.</w:t>
      </w:r>
    </w:p>
    <w:p w14:paraId="79010000">
      <w:pPr>
        <w:widowControl w:val="0"/>
        <w:spacing w:after="0" w:before="0" w:line="276" w:lineRule="auto"/>
        <w:ind w:firstLine="567" w:left="0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Таблица № 1</w:t>
      </w:r>
    </w:p>
    <w:p w14:paraId="7A010000">
      <w:pPr>
        <w:widowControl w:val="0"/>
        <w:tabs>
          <w:tab w:leader="none" w:pos="1134" w:val="left"/>
        </w:tabs>
        <w:spacing w:after="0" w:before="0" w:line="276" w:lineRule="auto"/>
        <w:ind/>
        <w:jc w:val="center"/>
        <w:rPr>
          <w:rFonts w:ascii="Times New Roman" w:hAnsi="Times New Roman"/>
          <w:color w:val="CF543F"/>
          <w:sz w:val="22"/>
        </w:rPr>
      </w:pPr>
    </w:p>
    <w:p w14:paraId="7B010000">
      <w:pPr>
        <w:widowControl w:val="0"/>
        <w:tabs>
          <w:tab w:leader="none" w:pos="1134" w:val="left"/>
        </w:tabs>
        <w:spacing w:after="0"/>
        <w:ind/>
        <w:jc w:val="center"/>
        <w:rPr>
          <w:sz w:val="28"/>
        </w:rPr>
      </w:pPr>
      <w:r>
        <w:rPr>
          <w:rFonts w:ascii="Times New Roman" w:hAnsi="Times New Roman"/>
          <w:sz w:val="28"/>
        </w:rPr>
        <w:t>ДИНАМИКА</w:t>
      </w:r>
    </w:p>
    <w:p w14:paraId="7C010000">
      <w:pPr>
        <w:widowControl w:val="0"/>
        <w:tabs>
          <w:tab w:leader="none" w:pos="1134" w:val="left"/>
        </w:tabs>
        <w:spacing w:after="0"/>
        <w:ind/>
        <w:jc w:val="center"/>
        <w:rPr>
          <w:sz w:val="28"/>
        </w:rPr>
      </w:pPr>
      <w:r>
        <w:rPr>
          <w:rFonts w:ascii="Times New Roman" w:hAnsi="Times New Roman"/>
          <w:sz w:val="28"/>
        </w:rPr>
        <w:t xml:space="preserve">демографии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в 2020 –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годах</w:t>
      </w:r>
    </w:p>
    <w:p w14:paraId="7D010000">
      <w:pPr>
        <w:widowControl w:val="0"/>
        <w:tabs>
          <w:tab w:leader="none" w:pos="1134" w:val="left"/>
        </w:tabs>
        <w:ind/>
        <w:jc w:val="center"/>
        <w:rPr>
          <w:sz w:val="24"/>
        </w:rPr>
      </w:pPr>
    </w:p>
    <w:tbl>
      <w:tblPr>
        <w:tblStyle w:val="Style_2"/>
        <w:tblW w:type="auto" w:w="0"/>
        <w:tblInd w:type="dxa" w:w="-65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2694"/>
        <w:gridCol w:w="992"/>
        <w:gridCol w:w="1134"/>
        <w:gridCol w:w="1134"/>
        <w:gridCol w:w="992"/>
        <w:gridCol w:w="1134"/>
        <w:gridCol w:w="1016"/>
        <w:gridCol w:w="1194"/>
      </w:tblGrid>
      <w:tr>
        <w:tc>
          <w:tcPr>
            <w:tcW w:type="dxa" w:w="269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E01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9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F01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2020 год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001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2021 год 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101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</w:tc>
        <w:tc>
          <w:tcPr>
            <w:tcW w:type="dxa" w:w="9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2010000">
            <w:pPr>
              <w:widowControl w:val="0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301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 год</w:t>
            </w:r>
          </w:p>
        </w:tc>
        <w:tc>
          <w:tcPr>
            <w:tcW w:type="dxa" w:w="221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401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</w:tr>
      <w:tr>
        <w:tc>
          <w:tcPr>
            <w:tcW w:type="dxa" w:w="269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01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501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(план)</w:t>
            </w:r>
          </w:p>
        </w:tc>
        <w:tc>
          <w:tcPr>
            <w:tcW w:type="dxa" w:w="11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6010000">
            <w:pPr>
              <w:widowControl w:val="0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(факт)</w:t>
            </w:r>
          </w:p>
        </w:tc>
      </w:tr>
    </w:tbl>
    <w:p w14:paraId="87010000">
      <w:pPr>
        <w:rPr>
          <w:sz w:val="2"/>
        </w:rPr>
      </w:pPr>
    </w:p>
    <w:tbl>
      <w:tblPr>
        <w:tblStyle w:val="Style_2"/>
        <w:tblW w:type="auto" w:w="0"/>
        <w:tblInd w:type="dxa" w:w="-652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2694"/>
        <w:gridCol w:w="992"/>
        <w:gridCol w:w="1134"/>
        <w:gridCol w:w="1134"/>
        <w:gridCol w:w="992"/>
        <w:gridCol w:w="1134"/>
        <w:gridCol w:w="1031"/>
        <w:gridCol w:w="1179"/>
      </w:tblGrid>
      <w:t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8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9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A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B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C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D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E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1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F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0010000">
            <w:pPr>
              <w:widowControl w:val="0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Число родившихся, человек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1010000">
            <w:pPr>
              <w:widowControl w:val="0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2010000">
            <w:pPr>
              <w:widowControl w:val="0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3010000">
            <w:pPr>
              <w:widowControl w:val="0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4010000">
            <w:pPr>
              <w:widowControl w:val="0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5010000">
            <w:pPr>
              <w:widowControl w:val="0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</w:t>
            </w:r>
          </w:p>
        </w:tc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6010000">
            <w:pPr>
              <w:widowControl w:val="0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90</w:t>
            </w:r>
          </w:p>
        </w:tc>
        <w:tc>
          <w:tcPr>
            <w:tcW w:type="dxa" w:w="1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7010000">
            <w:pPr>
              <w:widowControl w:val="0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82</w:t>
            </w:r>
          </w:p>
        </w:tc>
      </w:tr>
      <w:t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801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Число умерших, человек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901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282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A01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317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B01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C01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D01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E01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</w:t>
            </w:r>
          </w:p>
        </w:tc>
        <w:tc>
          <w:tcPr>
            <w:tcW w:type="dxa" w:w="1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9F01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260</w:t>
            </w:r>
          </w:p>
        </w:tc>
      </w:tr>
      <w:tr>
        <w:tc>
          <w:tcPr>
            <w:tcW w:type="dxa" w:w="26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0010000">
            <w:pPr>
              <w:widowControl w:val="0"/>
              <w:spacing w:after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Смертность населения</w:t>
            </w:r>
          </w:p>
          <w:p w14:paraId="A1010000">
            <w:pPr>
              <w:widowControl w:val="0"/>
              <w:spacing w:after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 всех причин смерти,</w:t>
            </w:r>
          </w:p>
          <w:p w14:paraId="A2010000">
            <w:pPr>
              <w:widowControl w:val="0"/>
              <w:spacing w:after="0" w:line="240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 1000 населения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3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16,6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4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18,9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5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6,3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6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</w:t>
            </w: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7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14,2</w:t>
            </w:r>
          </w:p>
        </w:tc>
        <w:tc>
          <w:tcPr>
            <w:tcW w:type="dxa" w:w="10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8010000">
            <w:pPr>
              <w:widowControl w:val="0"/>
              <w:spacing w:line="228" w:lineRule="auto"/>
              <w:ind/>
              <w:jc w:val="center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13,4</w:t>
            </w:r>
          </w:p>
        </w:tc>
        <w:tc>
          <w:tcPr>
            <w:tcW w:type="dxa" w:w="11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A9010000">
            <w:pPr>
              <w:widowControl w:val="0"/>
              <w:spacing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15,0</w:t>
            </w:r>
          </w:p>
        </w:tc>
      </w:tr>
    </w:tbl>
    <w:p w14:paraId="AA010000">
      <w:pPr>
        <w:widowControl w:val="0"/>
        <w:tabs>
          <w:tab w:leader="none" w:pos="1134" w:val="left"/>
        </w:tabs>
        <w:spacing w:after="0" w:before="0" w:line="276" w:lineRule="auto"/>
        <w:ind/>
        <w:jc w:val="center"/>
        <w:rPr>
          <w:rFonts w:ascii="Times New Roman" w:hAnsi="Times New Roman"/>
          <w:color w:val="CF543F"/>
          <w:sz w:val="28"/>
        </w:rPr>
      </w:pPr>
    </w:p>
    <w:p w14:paraId="AB01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 состоянию на 01.01.2024 года численность населения в трудоспособном возрасте в </w:t>
      </w:r>
      <w:r>
        <w:rPr>
          <w:rFonts w:ascii="Times New Roman" w:hAnsi="Times New Roman"/>
          <w:sz w:val="28"/>
        </w:rPr>
        <w:t>Обливском</w:t>
      </w:r>
      <w:r>
        <w:rPr>
          <w:rFonts w:ascii="Times New Roman" w:hAnsi="Times New Roman"/>
          <w:sz w:val="28"/>
        </w:rPr>
        <w:t xml:space="preserve"> районе со</w:t>
      </w:r>
      <w:r>
        <w:rPr>
          <w:rFonts w:ascii="Times New Roman" w:hAnsi="Times New Roman"/>
          <w:sz w:val="28"/>
        </w:rPr>
        <w:t>ставила</w:t>
      </w:r>
      <w:r>
        <w:rPr>
          <w:rFonts w:ascii="Times New Roman" w:hAnsi="Times New Roman"/>
          <w:sz w:val="28"/>
        </w:rPr>
        <w:t xml:space="preserve"> 9415 чел., удельный вес 57,0% к численности постоянного населения.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На дальнейшую перспективу в районе н</w:t>
      </w:r>
      <w:r>
        <w:rPr>
          <w:rFonts w:ascii="Times New Roman" w:hAnsi="Times New Roman"/>
          <w:sz w:val="28"/>
        </w:rPr>
        <w:t>аблюдается снижение, как трудовых ресурсов,  так и населения в трудоспособном возрасте</w:t>
      </w:r>
      <w:r>
        <w:rPr>
          <w:rFonts w:ascii="Times New Roman" w:hAnsi="Times New Roman"/>
          <w:sz w:val="28"/>
        </w:rPr>
        <w:t>.</w:t>
      </w:r>
    </w:p>
    <w:p w14:paraId="AC010000">
      <w:pPr>
        <w:widowControl w:val="0"/>
        <w:spacing w:after="0" w:before="0" w:line="240" w:lineRule="auto"/>
        <w:ind w:firstLine="709" w:left="0"/>
        <w:jc w:val="right"/>
        <w:rPr>
          <w:rFonts w:ascii="Times New Roman" w:hAnsi="Times New Roman"/>
          <w:color w:val="000000"/>
          <w:sz w:val="28"/>
        </w:rPr>
      </w:pPr>
    </w:p>
    <w:p w14:paraId="AD010000">
      <w:pPr>
        <w:widowControl w:val="0"/>
        <w:spacing w:after="0" w:before="0" w:line="240" w:lineRule="auto"/>
        <w:ind w:firstLine="709" w:left="0"/>
        <w:jc w:val="right"/>
        <w:rPr>
          <w:rFonts w:ascii="Times New Roman" w:hAnsi="Times New Roman"/>
          <w:color w:val="000000"/>
          <w:sz w:val="28"/>
        </w:rPr>
      </w:pPr>
    </w:p>
    <w:p w14:paraId="AE010000">
      <w:pPr>
        <w:widowControl w:val="0"/>
        <w:spacing w:after="0" w:before="0" w:line="240" w:lineRule="auto"/>
        <w:ind w:firstLine="709" w:left="0"/>
        <w:jc w:val="right"/>
        <w:rPr>
          <w:rFonts w:ascii="Times New Roman" w:hAnsi="Times New Roman"/>
          <w:color w:val="000000"/>
          <w:sz w:val="28"/>
        </w:rPr>
      </w:pPr>
    </w:p>
    <w:p w14:paraId="AF010000">
      <w:pPr>
        <w:widowControl w:val="0"/>
        <w:spacing w:after="0" w:before="0" w:line="240" w:lineRule="auto"/>
        <w:ind w:firstLine="709" w:left="0"/>
        <w:jc w:val="right"/>
        <w:rPr>
          <w:rFonts w:ascii="Times New Roman" w:hAnsi="Times New Roman"/>
          <w:color w:val="000000"/>
          <w:sz w:val="28"/>
        </w:rPr>
      </w:pPr>
    </w:p>
    <w:p w14:paraId="B0010000">
      <w:pPr>
        <w:widowControl w:val="0"/>
        <w:spacing w:after="0" w:before="0" w:line="240" w:lineRule="auto"/>
        <w:ind w:firstLine="709" w:left="0"/>
        <w:jc w:val="right"/>
        <w:rPr>
          <w:rFonts w:ascii="Times New Roman" w:hAnsi="Times New Roman"/>
          <w:color w:val="000000"/>
          <w:sz w:val="28"/>
        </w:rPr>
      </w:pPr>
    </w:p>
    <w:p w14:paraId="B1010000">
      <w:pPr>
        <w:widowControl w:val="0"/>
        <w:spacing w:after="0" w:before="0" w:line="240" w:lineRule="auto"/>
        <w:ind w:firstLine="709" w:left="0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Таблица № 2</w:t>
      </w:r>
    </w:p>
    <w:p w14:paraId="B2010000">
      <w:pPr>
        <w:widowControl w:val="0"/>
        <w:spacing w:after="0" w:before="0" w:line="264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Динамика</w:t>
      </w:r>
    </w:p>
    <w:p w14:paraId="B3010000">
      <w:pPr>
        <w:widowControl w:val="0"/>
        <w:spacing w:after="0" w:before="0" w:line="264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промышленного производства в Обливском районе</w:t>
      </w:r>
    </w:p>
    <w:p w14:paraId="B4010000">
      <w:pPr>
        <w:widowControl w:val="0"/>
        <w:spacing w:after="0" w:before="0" w:line="264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в 2020 – 2025 годах </w:t>
      </w:r>
    </w:p>
    <w:p w14:paraId="B501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CF543F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3019"/>
        <w:gridCol w:w="880"/>
        <w:gridCol w:w="840"/>
        <w:gridCol w:w="862"/>
        <w:gridCol w:w="825"/>
        <w:gridCol w:w="1101"/>
        <w:gridCol w:w="1107"/>
        <w:gridCol w:w="1094"/>
      </w:tblGrid>
      <w:tr>
        <w:tc>
          <w:tcPr>
            <w:tcW w:type="dxa" w:w="30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601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type="dxa" w:w="88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701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 год</w:t>
            </w:r>
          </w:p>
        </w:tc>
        <w:tc>
          <w:tcPr>
            <w:tcW w:type="dxa" w:w="84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801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2021 год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</w:p>
        </w:tc>
        <w:tc>
          <w:tcPr>
            <w:tcW w:type="dxa" w:w="86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901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2022 год</w:t>
            </w:r>
          </w:p>
        </w:tc>
        <w:tc>
          <w:tcPr>
            <w:tcW w:type="dxa" w:w="8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A01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2023 год</w:t>
            </w:r>
          </w:p>
        </w:tc>
        <w:tc>
          <w:tcPr>
            <w:tcW w:type="dxa" w:w="110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B01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2024 </w:t>
            </w:r>
          </w:p>
          <w:p w14:paraId="BC01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год</w:t>
            </w:r>
          </w:p>
        </w:tc>
        <w:tc>
          <w:tcPr>
            <w:tcW w:type="dxa" w:w="2201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D01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2025 год</w:t>
            </w:r>
          </w:p>
        </w:tc>
      </w:tr>
      <w:tr>
        <w:tc>
          <w:tcPr>
            <w:tcW w:type="dxa" w:w="30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88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84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86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8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110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E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(план)</w:t>
            </w:r>
          </w:p>
        </w:tc>
        <w:tc>
          <w:tcPr>
            <w:tcW w:type="dxa" w:w="1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F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(оценка)</w:t>
            </w:r>
          </w:p>
        </w:tc>
      </w:tr>
    </w:tbl>
    <w:p w14:paraId="C0010000">
      <w:pPr>
        <w:spacing w:after="0" w:before="0" w:line="240" w:lineRule="auto"/>
        <w:ind/>
        <w:rPr>
          <w:rFonts w:ascii="Times New Roman" w:hAnsi="Times New Roman"/>
          <w:color w:val="CF543F"/>
          <w:sz w:val="2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3019"/>
        <w:gridCol w:w="895"/>
        <w:gridCol w:w="825"/>
        <w:gridCol w:w="847"/>
        <w:gridCol w:w="855"/>
        <w:gridCol w:w="1101"/>
        <w:gridCol w:w="1107"/>
        <w:gridCol w:w="1094"/>
      </w:tblGrid>
      <w:tr>
        <w:tc>
          <w:tcPr>
            <w:tcW w:type="dxa" w:w="3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1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2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3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4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5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6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7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type="dxa" w:w="1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8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</w:tr>
      <w:tr>
        <w:tc>
          <w:tcPr>
            <w:tcW w:type="dxa" w:w="3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9010000">
            <w:pPr>
              <w:widowControl w:val="0"/>
              <w:spacing w:after="0" w:before="0" w:line="276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 промышленного производства, млн.рублей</w:t>
            </w:r>
          </w:p>
        </w:tc>
        <w:tc>
          <w:tcPr>
            <w:tcW w:type="dxa" w:w="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A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238,5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B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285,4</w:t>
            </w:r>
          </w:p>
        </w:tc>
        <w:tc>
          <w:tcPr>
            <w:tcW w:type="dxa" w:w="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C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337,9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D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346,7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E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379,5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F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426,9</w:t>
            </w:r>
          </w:p>
        </w:tc>
        <w:tc>
          <w:tcPr>
            <w:tcW w:type="dxa" w:w="1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0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462,7</w:t>
            </w:r>
          </w:p>
        </w:tc>
      </w:tr>
      <w:tr>
        <w:tc>
          <w:tcPr>
            <w:tcW w:type="dxa" w:w="3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1010000">
            <w:pPr>
              <w:widowControl w:val="0"/>
              <w:spacing w:after="0" w:before="0" w:line="276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Индекс физического объема( в сопоставимых ценах),  процентов</w:t>
            </w:r>
          </w:p>
        </w:tc>
        <w:tc>
          <w:tcPr>
            <w:tcW w:type="dxa" w:w="89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2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120,3</w:t>
            </w:r>
          </w:p>
        </w:tc>
        <w:tc>
          <w:tcPr>
            <w:tcW w:type="dxa" w:w="82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3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416,2</w:t>
            </w:r>
          </w:p>
        </w:tc>
        <w:tc>
          <w:tcPr>
            <w:tcW w:type="dxa" w:w="84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4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73,9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5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97,4</w:t>
            </w:r>
          </w:p>
        </w:tc>
        <w:tc>
          <w:tcPr>
            <w:tcW w:type="dxa" w:w="110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6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91,3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7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–</w:t>
            </w:r>
          </w:p>
        </w:tc>
        <w:tc>
          <w:tcPr>
            <w:tcW w:type="dxa" w:w="1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D8010000">
            <w:pPr>
              <w:widowControl w:val="0"/>
              <w:spacing w:after="0" w:before="0" w:line="276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118,5</w:t>
            </w:r>
          </w:p>
        </w:tc>
      </w:tr>
    </w:tbl>
    <w:p w14:paraId="D9010000">
      <w:pPr>
        <w:spacing w:line="240" w:lineRule="auto"/>
        <w:ind w:firstLine="851" w:lef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По итогам </w:t>
      </w:r>
      <w:r>
        <w:rPr>
          <w:rFonts w:ascii="Times New Roman" w:hAnsi="Times New Roman"/>
          <w:b w:val="0"/>
          <w:sz w:val="28"/>
        </w:rPr>
        <w:t>202</w:t>
      </w:r>
      <w:r>
        <w:rPr>
          <w:rFonts w:ascii="Times New Roman" w:hAnsi="Times New Roman"/>
          <w:b w:val="0"/>
          <w:sz w:val="28"/>
        </w:rPr>
        <w:t>5</w:t>
      </w:r>
      <w:r>
        <w:rPr>
          <w:rFonts w:ascii="Times New Roman" w:hAnsi="Times New Roman"/>
          <w:b w:val="0"/>
          <w:sz w:val="28"/>
        </w:rPr>
        <w:t xml:space="preserve"> года индекс промышленного производства по наблюдаемым крупным и средним предприятиям района сложился в размере </w:t>
      </w:r>
      <w:r>
        <w:rPr>
          <w:rFonts w:ascii="Times New Roman" w:hAnsi="Times New Roman"/>
          <w:b w:val="0"/>
          <w:sz w:val="28"/>
        </w:rPr>
        <w:t>115,2</w:t>
      </w:r>
      <w:r>
        <w:rPr>
          <w:rFonts w:ascii="Times New Roman" w:hAnsi="Times New Roman"/>
          <w:b w:val="0"/>
          <w:sz w:val="28"/>
        </w:rPr>
        <w:t xml:space="preserve"> процента</w:t>
      </w:r>
      <w:r>
        <w:rPr>
          <w:rFonts w:ascii="Times New Roman" w:hAnsi="Times New Roman"/>
          <w:b w:val="0"/>
          <w:sz w:val="28"/>
        </w:rPr>
        <w:t xml:space="preserve"> к уровню января-декабря 202</w:t>
      </w:r>
      <w:r>
        <w:rPr>
          <w:rFonts w:ascii="Times New Roman" w:hAnsi="Times New Roman"/>
          <w:b w:val="0"/>
          <w:sz w:val="28"/>
        </w:rPr>
        <w:t>4</w:t>
      </w:r>
      <w:r>
        <w:rPr>
          <w:rFonts w:ascii="Times New Roman" w:hAnsi="Times New Roman"/>
          <w:b w:val="0"/>
          <w:sz w:val="28"/>
        </w:rPr>
        <w:t xml:space="preserve"> года (в январе-декабре 202</w:t>
      </w:r>
      <w:r>
        <w:rPr>
          <w:rFonts w:ascii="Times New Roman" w:hAnsi="Times New Roman"/>
          <w:b w:val="0"/>
          <w:sz w:val="28"/>
        </w:rPr>
        <w:t>4</w:t>
      </w:r>
      <w:r>
        <w:rPr>
          <w:rFonts w:ascii="Times New Roman" w:hAnsi="Times New Roman"/>
          <w:b w:val="0"/>
          <w:sz w:val="28"/>
        </w:rPr>
        <w:t xml:space="preserve"> года индекс промышленного производства составил </w:t>
      </w:r>
      <w:r>
        <w:rPr>
          <w:rFonts w:ascii="Times New Roman" w:hAnsi="Times New Roman"/>
          <w:b w:val="0"/>
          <w:sz w:val="28"/>
        </w:rPr>
        <w:t>81,1</w:t>
      </w:r>
      <w:r>
        <w:rPr>
          <w:rFonts w:ascii="Times New Roman" w:hAnsi="Times New Roman"/>
          <w:b w:val="0"/>
          <w:sz w:val="28"/>
        </w:rPr>
        <w:t>% к янв</w:t>
      </w:r>
      <w:r>
        <w:rPr>
          <w:rFonts w:ascii="Times New Roman" w:hAnsi="Times New Roman"/>
          <w:b w:val="0"/>
          <w:sz w:val="28"/>
        </w:rPr>
        <w:t>а</w:t>
      </w:r>
      <w:r>
        <w:rPr>
          <w:rFonts w:ascii="Times New Roman" w:hAnsi="Times New Roman"/>
          <w:b w:val="0"/>
          <w:sz w:val="28"/>
        </w:rPr>
        <w:t>рю-декабрю 202</w:t>
      </w:r>
      <w:r>
        <w:rPr>
          <w:rFonts w:ascii="Times New Roman" w:hAnsi="Times New Roman"/>
          <w:b w:val="0"/>
          <w:sz w:val="28"/>
        </w:rPr>
        <w:t>3</w:t>
      </w:r>
      <w:r>
        <w:rPr>
          <w:rFonts w:ascii="Times New Roman" w:hAnsi="Times New Roman"/>
          <w:b w:val="0"/>
          <w:sz w:val="28"/>
        </w:rPr>
        <w:t xml:space="preserve"> года).</w:t>
      </w:r>
    </w:p>
    <w:p w14:paraId="DA01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Динамика инвестиций в основной капитал в Обливском районе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в 2020 – 2025 годах (Таблица № 3) имела  выраженную положительную тенденцию, </w:t>
      </w:r>
      <w:r>
        <w:rPr>
          <w:rFonts w:ascii="Times New Roman" w:hAnsi="Times New Roman"/>
          <w:color w:val="000000"/>
          <w:sz w:val="28"/>
        </w:rPr>
        <w:t xml:space="preserve">невзирая на внешние шоки (пандемия, санкции), которые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отдельные периоды сдерживали высокий темп инвестиционной активности.</w:t>
      </w:r>
    </w:p>
    <w:p w14:paraId="DB01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DC010000">
      <w:pPr>
        <w:widowControl w:val="0"/>
        <w:spacing w:after="0" w:before="0" w:line="240" w:lineRule="auto"/>
        <w:ind w:firstLine="709" w:left="0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Таблица № 3</w:t>
      </w:r>
    </w:p>
    <w:p w14:paraId="DD01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CF543F"/>
          <w:sz w:val="28"/>
        </w:rPr>
      </w:pPr>
    </w:p>
    <w:p w14:paraId="DE01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ДИНАМИКА</w:t>
      </w:r>
    </w:p>
    <w:p w14:paraId="DF01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инвестиций в основной капитал в Обливском районе </w:t>
      </w:r>
    </w:p>
    <w:p w14:paraId="E001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 2020 – 2025годах</w:t>
      </w:r>
    </w:p>
    <w:p w14:paraId="E101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CF543F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3019"/>
        <w:gridCol w:w="925"/>
        <w:gridCol w:w="930"/>
        <w:gridCol w:w="870"/>
        <w:gridCol w:w="810"/>
        <w:gridCol w:w="870"/>
        <w:gridCol w:w="1065"/>
        <w:gridCol w:w="1094"/>
      </w:tblGrid>
      <w:tr>
        <w:tc>
          <w:tcPr>
            <w:tcW w:type="dxa" w:w="301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2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Наименование показателя</w:t>
            </w:r>
          </w:p>
        </w:tc>
        <w:tc>
          <w:tcPr>
            <w:tcW w:type="dxa" w:w="925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3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 год</w:t>
            </w:r>
          </w:p>
        </w:tc>
        <w:tc>
          <w:tcPr>
            <w:tcW w:type="dxa" w:w="93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4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2021 год </w:t>
            </w:r>
          </w:p>
        </w:tc>
        <w:tc>
          <w:tcPr>
            <w:tcW w:type="dxa" w:w="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5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2022 год</w:t>
            </w:r>
          </w:p>
        </w:tc>
        <w:tc>
          <w:tcPr>
            <w:tcW w:type="dxa" w:w="81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6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2023 год</w:t>
            </w:r>
          </w:p>
        </w:tc>
        <w:tc>
          <w:tcPr>
            <w:tcW w:type="dxa" w:w="87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7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2024</w:t>
            </w:r>
          </w:p>
          <w:p w14:paraId="E8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год</w:t>
            </w:r>
          </w:p>
        </w:tc>
        <w:tc>
          <w:tcPr>
            <w:tcW w:type="dxa" w:w="2159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9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2025 год</w:t>
            </w:r>
          </w:p>
        </w:tc>
      </w:tr>
      <w:tr>
        <w:tc>
          <w:tcPr>
            <w:tcW w:type="dxa" w:w="301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925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93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81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87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/>
        </w:tc>
        <w:tc>
          <w:tcPr>
            <w:tcW w:type="dxa" w:w="1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A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(план)</w:t>
            </w:r>
          </w:p>
        </w:tc>
        <w:tc>
          <w:tcPr>
            <w:tcW w:type="dxa" w:w="1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B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(факт)</w:t>
            </w:r>
          </w:p>
        </w:tc>
      </w:tr>
    </w:tbl>
    <w:p w14:paraId="EC010000">
      <w:pPr>
        <w:spacing w:after="0" w:before="0" w:line="240" w:lineRule="auto"/>
        <w:ind/>
        <w:rPr>
          <w:rFonts w:ascii="Times New Roman" w:hAnsi="Times New Roman"/>
          <w:color w:val="CF543F"/>
          <w:sz w:val="2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3019"/>
        <w:gridCol w:w="910"/>
        <w:gridCol w:w="945"/>
        <w:gridCol w:w="870"/>
        <w:gridCol w:w="810"/>
        <w:gridCol w:w="855"/>
        <w:gridCol w:w="1107"/>
        <w:gridCol w:w="1094"/>
      </w:tblGrid>
      <w:tr>
        <w:trPr>
          <w:tblHeader/>
        </w:trPr>
        <w:tc>
          <w:tcPr>
            <w:tcW w:type="dxa" w:w="3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D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E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EF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0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1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2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3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</w:t>
            </w:r>
          </w:p>
        </w:tc>
        <w:tc>
          <w:tcPr>
            <w:tcW w:type="dxa" w:w="1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4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</w:tr>
      <w:tr>
        <w:tc>
          <w:tcPr>
            <w:tcW w:type="dxa" w:w="3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5010000">
            <w:pPr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Инвестиции в основной капитал, млн рублей</w:t>
            </w:r>
          </w:p>
        </w:tc>
        <w:tc>
          <w:tcPr>
            <w:tcW w:type="dxa" w:w="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6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645,9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7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710,8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8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577,6</w:t>
            </w:r>
          </w:p>
        </w:tc>
        <w:tc>
          <w:tcPr>
            <w:tcW w:type="dxa" w:w="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9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904,6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A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631,3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B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776,8</w:t>
            </w:r>
          </w:p>
        </w:tc>
        <w:tc>
          <w:tcPr>
            <w:tcW w:type="dxa" w:w="1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C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670,2</w:t>
            </w:r>
          </w:p>
        </w:tc>
      </w:tr>
      <w:tr>
        <w:tc>
          <w:tcPr>
            <w:tcW w:type="dxa" w:w="301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D010000">
            <w:pPr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Индекс физического объема инвестиций в основной капитал, процентов</w:t>
            </w:r>
          </w:p>
        </w:tc>
        <w:tc>
          <w:tcPr>
            <w:tcW w:type="dxa" w:w="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E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107,3</w:t>
            </w:r>
          </w:p>
        </w:tc>
        <w:tc>
          <w:tcPr>
            <w:tcW w:type="dxa" w:w="9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FF01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104,8</w:t>
            </w:r>
          </w:p>
        </w:tc>
        <w:tc>
          <w:tcPr>
            <w:tcW w:type="dxa" w:w="87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0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70,2</w:t>
            </w:r>
          </w:p>
        </w:tc>
        <w:tc>
          <w:tcPr>
            <w:tcW w:type="dxa" w:w="8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1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141,1</w:t>
            </w:r>
          </w:p>
        </w:tc>
        <w:tc>
          <w:tcPr>
            <w:tcW w:type="dxa" w:w="8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2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64,6</w:t>
            </w:r>
          </w:p>
        </w:tc>
        <w:tc>
          <w:tcPr>
            <w:tcW w:type="dxa" w:w="110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3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type="dxa" w:w="109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04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97,1</w:t>
            </w:r>
          </w:p>
        </w:tc>
      </w:tr>
    </w:tbl>
    <w:p w14:paraId="0502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0602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Объем инвестиций в основной капитал обеспечивает воспроизводство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развитие экономики и социальной сферы, определяет темпы их перспективного развития. </w:t>
      </w:r>
    </w:p>
    <w:p w14:paraId="0702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Динамика среднемесячной начисленной заработной плате в Обливском районе в 2020–2025 годах демонстрирует ускоренный рост (Таблица № 4). </w:t>
      </w:r>
    </w:p>
    <w:p w14:paraId="08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09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ДИНАМИКА</w:t>
      </w:r>
    </w:p>
    <w:p w14:paraId="0A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среднемесячной заработной платы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</w:p>
    <w:p w14:paraId="0B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2020 –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годах</w:t>
      </w:r>
    </w:p>
    <w:p w14:paraId="0C02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36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2269"/>
        <w:gridCol w:w="1134"/>
        <w:gridCol w:w="1276"/>
        <w:gridCol w:w="1134"/>
        <w:gridCol w:w="992"/>
        <w:gridCol w:w="1134"/>
        <w:gridCol w:w="1134"/>
        <w:gridCol w:w="992"/>
      </w:tblGrid>
      <w:tr>
        <w:tc>
          <w:tcPr>
            <w:tcW w:type="dxa" w:w="2269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0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2020 </w:t>
            </w:r>
          </w:p>
          <w:p w14:paraId="0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2021</w:t>
            </w:r>
          </w:p>
          <w:p w14:paraId="1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год 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2022 год</w:t>
            </w:r>
          </w:p>
          <w:p w14:paraId="1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(база)</w:t>
            </w:r>
          </w:p>
        </w:tc>
        <w:tc>
          <w:tcPr>
            <w:tcW w:type="dxa" w:w="99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2023 год</w:t>
            </w:r>
          </w:p>
        </w:tc>
        <w:tc>
          <w:tcPr>
            <w:tcW w:type="dxa" w:w="113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2024 </w:t>
            </w:r>
          </w:p>
          <w:p w14:paraId="1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год</w:t>
            </w:r>
          </w:p>
        </w:tc>
        <w:tc>
          <w:tcPr>
            <w:tcW w:type="dxa" w:w="21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год</w:t>
            </w:r>
          </w:p>
        </w:tc>
      </w:tr>
      <w:tr>
        <w:tc>
          <w:tcPr>
            <w:tcW w:type="dxa" w:w="2269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99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3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(план)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(факт)</w:t>
            </w:r>
          </w:p>
        </w:tc>
      </w:tr>
    </w:tbl>
    <w:p w14:paraId="1A020000">
      <w:pPr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-369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2269"/>
        <w:gridCol w:w="1134"/>
        <w:gridCol w:w="1276"/>
        <w:gridCol w:w="1134"/>
        <w:gridCol w:w="992"/>
        <w:gridCol w:w="1134"/>
        <w:gridCol w:w="1134"/>
        <w:gridCol w:w="992"/>
      </w:tblGrid>
      <w:tr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1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1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</w:tr>
      <w:tr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Среднемесячная начисленная заработная плата (в месяц), рублей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4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27 828,1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5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29993,9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34 848,38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38 687,9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43 259,1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9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48 809,64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A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48 914,7</w:t>
            </w:r>
          </w:p>
        </w:tc>
      </w:tr>
      <w:tr>
        <w:tc>
          <w:tcPr>
            <w:tcW w:type="dxa" w:w="226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2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Темп роста (к предыдущему году), процентов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105,4</w:t>
            </w:r>
          </w:p>
        </w:tc>
        <w:tc>
          <w:tcPr>
            <w:tcW w:type="dxa" w:w="12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107,8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E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116,2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2F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111,0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0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111,8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112,8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57"/>
              <w:bottom w:type="dxa" w:w="0"/>
              <w:right w:type="dxa" w:w="57"/>
            </w:tcMar>
          </w:tcPr>
          <w:p w14:paraId="3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113,1</w:t>
            </w:r>
          </w:p>
        </w:tc>
      </w:tr>
    </w:tbl>
    <w:p w14:paraId="3302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3402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протяжении ряда лет, начиная с 20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по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года, наблюдается ежегодный рост заработной платы в целом по району. </w:t>
      </w:r>
    </w:p>
    <w:p w14:paraId="3502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Рост среднемесячной номинальной заработной платы связан с ежегодным увеличением </w:t>
      </w:r>
      <w:r>
        <w:rPr>
          <w:rFonts w:ascii="Times New Roman" w:hAnsi="Times New Roman"/>
          <w:sz w:val="28"/>
        </w:rPr>
        <w:t xml:space="preserve">минимального </w:t>
      </w:r>
      <w:r>
        <w:rPr>
          <w:rFonts w:ascii="Times New Roman" w:hAnsi="Times New Roman"/>
          <w:sz w:val="28"/>
        </w:rPr>
        <w:t>размера оплаты труда</w:t>
      </w:r>
      <w:r>
        <w:rPr>
          <w:rFonts w:ascii="Times New Roman" w:hAnsi="Times New Roman"/>
          <w:sz w:val="28"/>
        </w:rPr>
        <w:t xml:space="preserve"> в организациях</w:t>
      </w:r>
      <w:r>
        <w:rPr>
          <w:rFonts w:ascii="Times New Roman" w:hAnsi="Times New Roman"/>
          <w:sz w:val="28"/>
        </w:rPr>
        <w:t xml:space="preserve"> всех форм собственности,  реализацией Указа Президента РФ от 07.05.2012 № 597 «О мероприятиях по реализации государственной социальной политики» для отдельной категории работников бюджетной сферы, </w:t>
      </w:r>
      <w:r>
        <w:rPr>
          <w:rFonts w:ascii="Times New Roman" w:hAnsi="Times New Roman"/>
          <w:sz w:val="28"/>
        </w:rPr>
        <w:t xml:space="preserve">ежегодной </w:t>
      </w:r>
      <w:r>
        <w:rPr>
          <w:rFonts w:ascii="Times New Roman" w:hAnsi="Times New Roman"/>
          <w:sz w:val="28"/>
        </w:rPr>
        <w:t>индексацией должностных окладов.</w:t>
      </w:r>
    </w:p>
    <w:p w14:paraId="3602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Кроме того, </w:t>
      </w:r>
      <w:r>
        <w:rPr>
          <w:rFonts w:ascii="Times New Roman" w:hAnsi="Times New Roman"/>
          <w:sz w:val="28"/>
        </w:rPr>
        <w:t xml:space="preserve">в организациях </w:t>
      </w:r>
      <w:r>
        <w:rPr>
          <w:rFonts w:ascii="Times New Roman" w:hAnsi="Times New Roman"/>
          <w:sz w:val="28"/>
        </w:rPr>
        <w:t xml:space="preserve"> внебюджетной сферы повышение заработной платы обусловлено доведением минимальной и средней заработной платы до уровня предусмотренного </w:t>
      </w:r>
      <w:r>
        <w:rPr>
          <w:rFonts w:ascii="Times New Roman" w:hAnsi="Times New Roman"/>
          <w:sz w:val="28"/>
        </w:rPr>
        <w:t xml:space="preserve">областным и районным </w:t>
      </w:r>
      <w:r>
        <w:rPr>
          <w:rFonts w:ascii="Times New Roman" w:hAnsi="Times New Roman"/>
          <w:sz w:val="28"/>
        </w:rPr>
        <w:t xml:space="preserve">трехсторонним Соглашением. </w:t>
      </w:r>
    </w:p>
    <w:p w14:paraId="3702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Темп роста среднемесячной заработной платы 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 по отношению к 20</w:t>
      </w:r>
      <w:r>
        <w:rPr>
          <w:rFonts w:ascii="Times New Roman" w:hAnsi="Times New Roman"/>
          <w:sz w:val="28"/>
        </w:rPr>
        <w:t>20</w:t>
      </w:r>
      <w:r>
        <w:rPr>
          <w:rFonts w:ascii="Times New Roman" w:hAnsi="Times New Roman"/>
          <w:sz w:val="28"/>
        </w:rPr>
        <w:t xml:space="preserve"> году в целом составил 1</w:t>
      </w:r>
      <w:r>
        <w:rPr>
          <w:rFonts w:ascii="Times New Roman" w:hAnsi="Times New Roman"/>
          <w:sz w:val="28"/>
        </w:rPr>
        <w:t>75,8</w:t>
      </w:r>
      <w:r>
        <w:rPr>
          <w:rFonts w:ascii="Times New Roman" w:hAnsi="Times New Roman"/>
          <w:sz w:val="28"/>
        </w:rPr>
        <w:t>%.</w:t>
      </w:r>
    </w:p>
    <w:p w14:paraId="38020000">
      <w:pPr>
        <w:widowControl w:val="0"/>
        <w:spacing w:after="0" w:line="240" w:lineRule="auto"/>
        <w:ind w:firstLine="0" w:left="5103"/>
        <w:jc w:val="center"/>
        <w:rPr>
          <w:rFonts w:ascii="Times New Roman" w:hAnsi="Times New Roman"/>
          <w:sz w:val="28"/>
        </w:rPr>
      </w:pPr>
    </w:p>
    <w:p w14:paraId="39020000">
      <w:pPr>
        <w:pStyle w:val="Style_8"/>
        <w:widowControl w:val="0"/>
        <w:spacing w:before="0"/>
        <w:ind/>
        <w:rPr>
          <w:rFonts w:ascii="Times New Roman" w:hAnsi="Times New Roman"/>
          <w:color w:val="CF543F"/>
        </w:rPr>
      </w:pPr>
    </w:p>
    <w:p w14:paraId="3A020000">
      <w:bookmarkStart w:id="16" w:name="__RefHeading___16"/>
      <w:bookmarkEnd w:id="16"/>
      <w:pPr>
        <w:pStyle w:val="Style_8"/>
        <w:widowControl w:val="0"/>
        <w:spacing w:before="0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2.5. Направления развития </w:t>
      </w:r>
    </w:p>
    <w:p w14:paraId="3B020000">
      <w:bookmarkStart w:id="17" w:name="__RefHeading___17"/>
      <w:bookmarkEnd w:id="17"/>
      <w:pPr>
        <w:pStyle w:val="Style_8"/>
        <w:widowControl w:val="0"/>
        <w:spacing w:before="0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социально-экономического потенциала </w:t>
      </w:r>
    </w:p>
    <w:p w14:paraId="3C020000">
      <w:bookmarkStart w:id="18" w:name="__RefHeading___18"/>
      <w:bookmarkEnd w:id="18"/>
      <w:pPr>
        <w:pStyle w:val="Style_8"/>
        <w:widowControl w:val="0"/>
        <w:spacing w:before="0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Обливского района в условиях стратегических вызовов</w:t>
      </w:r>
    </w:p>
    <w:p w14:paraId="3D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3E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Стратегические </w:t>
      </w:r>
      <w:r>
        <w:rPr>
          <w:rFonts w:ascii="Times New Roman" w:hAnsi="Times New Roman"/>
          <w:color w:val="000000"/>
          <w:sz w:val="28"/>
        </w:rPr>
        <w:t xml:space="preserve">вызовы определяются комплексом внешних условий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факторов, создающих стимулы устойчивого социально-экономического развития Обливского района в перспективе до 2030 года.</w:t>
      </w:r>
    </w:p>
    <w:p w14:paraId="3F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Действие стратегических вызовов рассматривается в контексте достижения национальных це</w:t>
      </w:r>
      <w:r>
        <w:rPr>
          <w:rFonts w:ascii="Times New Roman" w:hAnsi="Times New Roman"/>
          <w:color w:val="000000"/>
          <w:sz w:val="28"/>
        </w:rPr>
        <w:t>лей развития Российской Федерации в масштабах Ростовской области и Обливского района, с учетом ресурсного потенциала и конкурентных преимуществ района.</w:t>
      </w:r>
    </w:p>
    <w:p w14:paraId="40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Проекция стратегических вызовов на возможности достижения национальных целей развития Российской Федерации на территории Обливского района Ро</w:t>
      </w:r>
      <w:r>
        <w:rPr>
          <w:rFonts w:ascii="Times New Roman" w:hAnsi="Times New Roman"/>
          <w:color w:val="000000"/>
          <w:sz w:val="28"/>
        </w:rPr>
        <w:t xml:space="preserve">стовской </w:t>
      </w:r>
      <w:r>
        <w:rPr>
          <w:rFonts w:ascii="Times New Roman" w:hAnsi="Times New Roman"/>
          <w:color w:val="000000"/>
          <w:sz w:val="28"/>
        </w:rPr>
        <w:t xml:space="preserve">области осуществляется в зависимости от содержательного наполнения установленных в Указе Президента Российской Федерации </w:t>
      </w:r>
      <w:r>
        <w:rPr>
          <w:rFonts w:ascii="Times New Roman" w:hAnsi="Times New Roman"/>
          <w:color w:val="000000"/>
          <w:sz w:val="28"/>
        </w:rPr>
        <w:t>от 07.05.2024 № 309 целевых показателей и задач для конкретной национальной цели.</w:t>
      </w:r>
    </w:p>
    <w:p w14:paraId="41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42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Геополитический и экономико-технологичес</w:t>
      </w:r>
      <w:r>
        <w:rPr>
          <w:rFonts w:ascii="Times New Roman" w:hAnsi="Times New Roman"/>
          <w:color w:val="000000"/>
          <w:sz w:val="28"/>
        </w:rPr>
        <w:t>кий вызов</w:t>
      </w:r>
    </w:p>
    <w:p w14:paraId="43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1.1. Национальная цель «Устойчивая и динамичная экономика»</w:t>
      </w:r>
    </w:p>
    <w:p w14:paraId="44020000">
      <w:pPr>
        <w:pStyle w:val="Style_10"/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Фактор вызова: фрагментация мировой экономики, нарастание внешнеэкономического протекционизма и геополитической напряженности</w:t>
      </w:r>
    </w:p>
    <w:p w14:paraId="45020000">
      <w:pPr>
        <w:pStyle w:val="Style_10"/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Системный ответ:</w:t>
      </w:r>
    </w:p>
    <w:p w14:paraId="46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расширение географии (ЕАЭС, ШОС, БРИКС+) и д</w:t>
      </w:r>
      <w:r>
        <w:rPr>
          <w:rFonts w:ascii="Times New Roman" w:hAnsi="Times New Roman"/>
          <w:color w:val="000000"/>
          <w:sz w:val="28"/>
        </w:rPr>
        <w:t>иверсификация экспорта (высокотехнологичная промышленность, продукты глубокой сельхозпереработки, ИКТ, туризм, образование, медицина);</w:t>
      </w:r>
    </w:p>
    <w:p w14:paraId="47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Системный ответ:</w:t>
      </w:r>
    </w:p>
    <w:p w14:paraId="48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привлечение, локализация и реализация крупных  инвестпроектов.</w:t>
      </w:r>
    </w:p>
    <w:p w14:paraId="49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1.2. Национальная цель «Технологическое лидерство»</w:t>
      </w:r>
    </w:p>
    <w:p w14:paraId="4A020000">
      <w:pPr>
        <w:pStyle w:val="Style_10"/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Фактор вызова: зависимость от импорта критических</w:t>
      </w:r>
      <w:r>
        <w:rPr>
          <w:rFonts w:ascii="Times New Roman" w:hAnsi="Times New Roman"/>
          <w:color w:val="000000"/>
          <w:sz w:val="28"/>
        </w:rPr>
        <w:t xml:space="preserve"> и сквозных технологий; переход к новому технологическому укладу</w:t>
      </w:r>
    </w:p>
    <w:p w14:paraId="4B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Системный ответ:</w:t>
      </w:r>
    </w:p>
    <w:p w14:paraId="4C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развитие проектов импортозамещения.</w:t>
      </w:r>
      <w:r>
        <w:rPr>
          <w:rFonts w:ascii="Times New Roman" w:hAnsi="Times New Roman"/>
          <w:color w:val="CF543F"/>
          <w:sz w:val="28"/>
        </w:rPr>
        <w:t xml:space="preserve"> </w:t>
      </w:r>
    </w:p>
    <w:p w14:paraId="4D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1.3. Национальная цель «Цифровая трансформация государственного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муниципального управления,</w:t>
      </w:r>
      <w:r>
        <w:rPr>
          <w:rFonts w:ascii="Times New Roman" w:hAnsi="Times New Roman"/>
          <w:color w:val="000000"/>
          <w:sz w:val="28"/>
        </w:rPr>
        <w:t xml:space="preserve"> экономики и социальной сферы»</w:t>
      </w:r>
    </w:p>
    <w:p w14:paraId="4E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Фактор вызова: уход с российского рынка поставщиков цифрового оборудования и ограничение доступа к программным продуктам и цифровым платформам компаний недружественных стран</w:t>
      </w:r>
    </w:p>
    <w:p w14:paraId="4F020000">
      <w:pPr>
        <w:pStyle w:val="Style_10"/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Системный ответ:</w:t>
      </w:r>
    </w:p>
    <w:p w14:paraId="50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5G и системы «умный город</w:t>
      </w:r>
      <w:r>
        <w:rPr>
          <w:rFonts w:ascii="Times New Roman" w:hAnsi="Times New Roman"/>
          <w:color w:val="000000"/>
          <w:sz w:val="28"/>
        </w:rPr>
        <w:t>»;</w:t>
      </w:r>
    </w:p>
    <w:p w14:paraId="51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масштабирование цифровизации государственных услуг для населения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бизнеса;</w:t>
      </w:r>
    </w:p>
    <w:p w14:paraId="52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цифровая трансформация систем здравоохранения, образования, культуры, спорта и социального обслуживания.</w:t>
      </w:r>
    </w:p>
    <w:p w14:paraId="53020000">
      <w:pPr>
        <w:pStyle w:val="Style_10"/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Социально-демографический вызов</w:t>
      </w:r>
    </w:p>
    <w:p w14:paraId="54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2.1. Национальная цель «Сохранение </w:t>
      </w:r>
      <w:r>
        <w:rPr>
          <w:rFonts w:ascii="Times New Roman" w:hAnsi="Times New Roman"/>
          <w:color w:val="000000"/>
          <w:sz w:val="28"/>
        </w:rPr>
        <w:t xml:space="preserve">населения, укрепление здоровья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повышение благополучия людей, поддержка семьи»</w:t>
      </w:r>
    </w:p>
    <w:p w14:paraId="55020000">
      <w:pPr>
        <w:pStyle w:val="Style_10"/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Фактор вызова: естественная убыль населения </w:t>
      </w:r>
    </w:p>
    <w:p w14:paraId="56020000">
      <w:pPr>
        <w:pStyle w:val="Style_10"/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Системный ответ:</w:t>
      </w:r>
    </w:p>
    <w:p w14:paraId="57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популяризация и продвижение здорового образа жизни;</w:t>
      </w:r>
    </w:p>
    <w:p w14:paraId="58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поддержка здоровья пожилого поколения, формирующая основы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для активного долголетия;</w:t>
      </w:r>
    </w:p>
    <w:p w14:paraId="59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экономики здоровья: правильное п</w:t>
      </w:r>
      <w:r>
        <w:rPr>
          <w:rFonts w:ascii="Times New Roman" w:hAnsi="Times New Roman"/>
          <w:color w:val="000000"/>
          <w:sz w:val="28"/>
        </w:rPr>
        <w:t>итание, персонифицированная медицина, оздоровительный туризм, спорт.</w:t>
      </w:r>
    </w:p>
    <w:p w14:paraId="5A020000">
      <w:pPr>
        <w:pStyle w:val="Style_10"/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Фактор вызова: дифференциация доходов населения в профессиональном и территориальном разрезе</w:t>
      </w:r>
    </w:p>
    <w:p w14:paraId="5B020000">
      <w:pPr>
        <w:pStyle w:val="Style_10"/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Системный ответ:</w:t>
      </w:r>
    </w:p>
    <w:p w14:paraId="5C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устойчивого роста доходов всех профессиональных групп населения и</w:t>
      </w:r>
      <w:r>
        <w:rPr>
          <w:rFonts w:ascii="Times New Roman" w:hAnsi="Times New Roman"/>
          <w:color w:val="000000"/>
          <w:sz w:val="28"/>
        </w:rPr>
        <w:t xml:space="preserve"> уровня пенсионного обеспечения;</w:t>
      </w:r>
    </w:p>
    <w:p w14:paraId="5D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Фактор вызова: высокий уровень трудовой миграции и отток квалифицированных кадров</w:t>
      </w:r>
    </w:p>
    <w:p w14:paraId="5E020000">
      <w:pPr>
        <w:pStyle w:val="Style_10"/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Системный ответ:</w:t>
      </w:r>
    </w:p>
    <w:p w14:paraId="5F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технологическ</w:t>
      </w:r>
      <w:r>
        <w:rPr>
          <w:rFonts w:ascii="Times New Roman" w:hAnsi="Times New Roman"/>
          <w:color w:val="000000"/>
          <w:sz w:val="28"/>
        </w:rPr>
        <w:t>ая модернизация экономики в пользу создания высокопроизводительных рабочих мест;</w:t>
      </w:r>
    </w:p>
    <w:p w14:paraId="60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2.2. Национальная цель «Реализация потенциала каждого человека, развитие его талантов, воспитание патриотично</w:t>
      </w:r>
      <w:r>
        <w:rPr>
          <w:rFonts w:ascii="Times New Roman" w:hAnsi="Times New Roman"/>
          <w:color w:val="000000"/>
          <w:sz w:val="28"/>
        </w:rPr>
        <w:t>й и социально ответственной личности»</w:t>
      </w:r>
    </w:p>
    <w:p w14:paraId="61020000">
      <w:pPr>
        <w:pStyle w:val="Style_10"/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Фактор вызова: поиск лучших мест для получения образования, трудоустройства и самореализации</w:t>
      </w:r>
    </w:p>
    <w:p w14:paraId="62020000">
      <w:pPr>
        <w:pStyle w:val="Style_10"/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Системный ответ:</w:t>
      </w:r>
    </w:p>
    <w:p w14:paraId="63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развитие образовательного комплекса, включая развитие сети центров дополнительного образования, молодежного </w:t>
      </w:r>
      <w:r>
        <w:rPr>
          <w:rFonts w:ascii="Times New Roman" w:hAnsi="Times New Roman"/>
          <w:color w:val="000000"/>
          <w:sz w:val="28"/>
        </w:rPr>
        <w:t xml:space="preserve">инновационного творчества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предпринимательства;</w:t>
      </w:r>
    </w:p>
    <w:p w14:paraId="64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рост креативных индустрий (основанных на прикладном творчестве, историко-культурном </w:t>
      </w:r>
      <w:r>
        <w:rPr>
          <w:rFonts w:ascii="Times New Roman" w:hAnsi="Times New Roman"/>
          <w:color w:val="000000"/>
          <w:sz w:val="28"/>
        </w:rPr>
        <w:t>наследии, произведениях литературы и искусства).</w:t>
      </w:r>
    </w:p>
    <w:p w14:paraId="65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Фактор вызова: пропаганда антиценностей и нетрадиционных ценностей, государственного нигилизма; иждивенчества и инфантилизма</w:t>
      </w:r>
    </w:p>
    <w:p w14:paraId="66020000">
      <w:pPr>
        <w:pStyle w:val="Style_10"/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Системный ответ:</w:t>
      </w:r>
    </w:p>
    <w:p w14:paraId="67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содействие росту патриотизма</w:t>
      </w:r>
      <w:r>
        <w:rPr>
          <w:rFonts w:ascii="Times New Roman" w:hAnsi="Times New Roman"/>
          <w:color w:val="000000"/>
          <w:sz w:val="28"/>
        </w:rPr>
        <w:t xml:space="preserve">, социальной ответственности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продвижению духовно-нравственных, культурно-исторических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экологических ценностей населения;</w:t>
      </w:r>
    </w:p>
    <w:p w14:paraId="68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продвижение культурных и исторических традиций и достижений страны и Донского края;</w:t>
      </w:r>
    </w:p>
    <w:p w14:paraId="69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реализация программ по повышению финансовой и ц</w:t>
      </w:r>
      <w:r>
        <w:rPr>
          <w:rFonts w:ascii="Times New Roman" w:hAnsi="Times New Roman"/>
          <w:color w:val="000000"/>
          <w:sz w:val="28"/>
        </w:rPr>
        <w:t>ифровой грамотности населения.</w:t>
      </w:r>
    </w:p>
    <w:p w14:paraId="6A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2.3. Национальная цель «Комфортная и безопасная среда для жизни»</w:t>
      </w:r>
    </w:p>
    <w:p w14:paraId="6B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Фактор вызова: пространственные дисбалансы в системе расселения</w:t>
      </w:r>
    </w:p>
    <w:p w14:paraId="6C020000">
      <w:pPr>
        <w:pStyle w:val="Style_10"/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Системный ответ:</w:t>
      </w:r>
    </w:p>
    <w:p w14:paraId="6D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CF543F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развитие социальной инфраструктуры опорных населенных пунктов и пов</w:t>
      </w:r>
      <w:r>
        <w:rPr>
          <w:rFonts w:ascii="Times New Roman" w:hAnsi="Times New Roman"/>
          <w:color w:val="000000"/>
          <w:sz w:val="28"/>
        </w:rPr>
        <w:t>ышение ее доступности для населения прилегающих территорий;</w:t>
      </w:r>
    </w:p>
    <w:p w14:paraId="6E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опережающий рост доходов сельского населения: рост возможностей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для малого бизнеса на селе; развитие инфраструктуры и сервисов в сельской местности.</w:t>
      </w:r>
    </w:p>
    <w:p w14:paraId="6F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Природно-климатический вызов</w:t>
      </w:r>
    </w:p>
    <w:p w14:paraId="70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3.1. Национальная цель «Устойчивая и динамичная экономика»</w:t>
      </w:r>
    </w:p>
    <w:p w14:paraId="71020000">
      <w:pPr>
        <w:pStyle w:val="Style_10"/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Фактор вызова: неблагоприятные изменения климата (увеличение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регионе инт</w:t>
      </w:r>
      <w:r>
        <w:rPr>
          <w:rFonts w:ascii="Times New Roman" w:hAnsi="Times New Roman"/>
          <w:color w:val="000000"/>
          <w:sz w:val="28"/>
        </w:rPr>
        <w:t>енсивности и продолжительности засух и волн жары, обострение дефицита в водообеспечении производства и населения)</w:t>
      </w:r>
    </w:p>
    <w:p w14:paraId="72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Системный ответ: </w:t>
      </w:r>
    </w:p>
    <w:p w14:paraId="73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внедрение в производственной сфере наилучших доступных технологий, сберегающих природную среду;</w:t>
      </w:r>
    </w:p>
    <w:p w14:paraId="74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сегмента экологического туризма.</w:t>
      </w:r>
    </w:p>
    <w:p w14:paraId="75020000">
      <w:pPr>
        <w:pStyle w:val="Style_7"/>
        <w:widowControl w:val="0"/>
        <w:spacing w:after="0" w:before="0" w:line="240" w:lineRule="auto"/>
        <w:ind w:firstLine="0" w:left="0"/>
        <w:jc w:val="center"/>
        <w:rPr>
          <w:rFonts w:ascii="Times New Roman" w:hAnsi="Times New Roman"/>
          <w:b w:val="0"/>
          <w:color w:val="CF543F"/>
          <w:sz w:val="28"/>
        </w:rPr>
      </w:pPr>
    </w:p>
    <w:p w14:paraId="76020000">
      <w:bookmarkStart w:id="19" w:name="__RefHeading___19"/>
      <w:bookmarkEnd w:id="19"/>
      <w:pPr>
        <w:pStyle w:val="Style_6"/>
      </w:pPr>
      <w:r>
        <w:t>3. Система целеполагания</w:t>
      </w:r>
    </w:p>
    <w:p w14:paraId="77020000">
      <w:pPr>
        <w:pStyle w:val="Style_7"/>
        <w:widowControl w:val="0"/>
        <w:spacing w:after="0" w:before="0" w:line="240" w:lineRule="auto"/>
        <w:ind w:firstLine="0" w:lef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3.1. Миссия Обливского района</w:t>
      </w:r>
    </w:p>
    <w:p w14:paraId="78020000">
      <w:pPr>
        <w:widowControl w:val="0"/>
        <w:tabs>
          <w:tab w:leader="none" w:pos="1134" w:val="left"/>
        </w:tabs>
        <w:spacing w:after="0" w:before="0" w:line="240" w:lineRule="auto"/>
        <w:ind w:firstLine="0" w:left="0"/>
        <w:jc w:val="center"/>
        <w:rPr>
          <w:rFonts w:ascii="Times New Roman" w:hAnsi="Times New Roman"/>
          <w:color w:val="000000"/>
          <w:sz w:val="28"/>
        </w:rPr>
      </w:pPr>
    </w:p>
    <w:p w14:paraId="79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Миссия определяет сверхзадачу, генеральную цель развития Обливского района в долгосрочной перспективе, выходящей за рамки </w:t>
      </w:r>
      <w:r>
        <w:rPr>
          <w:rFonts w:ascii="Times New Roman" w:hAnsi="Times New Roman"/>
          <w:color w:val="000000"/>
          <w:sz w:val="28"/>
        </w:rPr>
        <w:t>горизонта планирования Стратегии.</w:t>
      </w:r>
    </w:p>
    <w:p w14:paraId="7A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Миссия Обливского района – обеспечение устойчивого, динамичного </w:t>
      </w:r>
      <w:r>
        <w:rPr>
          <w:rFonts w:ascii="Times New Roman" w:hAnsi="Times New Roman"/>
          <w:color w:val="000000"/>
          <w:sz w:val="28"/>
        </w:rPr>
        <w:t>развития  путем непрерывного расширения возможностей реализации каждым жителем своего потенциала.</w:t>
      </w:r>
    </w:p>
    <w:p w14:paraId="7B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Миссия Обливского района включает систему ценностных ориентиров:</w:t>
      </w:r>
    </w:p>
    <w:p w14:paraId="7C020000">
      <w:pPr>
        <w:widowControl w:val="0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Обеспечение достойной жизни и свободного развития на  территории района.</w:t>
      </w:r>
    </w:p>
    <w:p w14:paraId="7D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</w:t>
      </w:r>
      <w:r>
        <w:rPr>
          <w:rFonts w:ascii="Times New Roman" w:hAnsi="Times New Roman"/>
          <w:color w:val="000000"/>
          <w:sz w:val="28"/>
        </w:rPr>
        <w:t xml:space="preserve">еспечение долголетия и высокого качества жизни населения.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 Рост материального благосостояния, доступности социальных услуг, защищенности прав и свобод</w:t>
      </w:r>
      <w:r>
        <w:rPr>
          <w:rFonts w:ascii="Times New Roman" w:hAnsi="Times New Roman"/>
          <w:color w:val="000000"/>
          <w:sz w:val="28"/>
        </w:rPr>
        <w:t xml:space="preserve">, возможностей духовного развития и самореализации жителей всех возрастов. </w:t>
      </w:r>
      <w:r>
        <w:rPr>
          <w:rFonts w:ascii="Times New Roman" w:hAnsi="Times New Roman"/>
          <w:color w:val="000000"/>
          <w:sz w:val="28"/>
        </w:rPr>
        <w:t xml:space="preserve">Развитие системы социальной защиты инвалидов, пенсионеров, ветеранов ВОВ, СВО </w:t>
      </w:r>
      <w:r>
        <w:rPr>
          <w:rFonts w:ascii="Times New Roman" w:hAnsi="Times New Roman"/>
          <w:color w:val="000000"/>
          <w:sz w:val="28"/>
        </w:rPr>
        <w:t>и членов их семей.</w:t>
      </w:r>
    </w:p>
    <w:p w14:paraId="7E020000">
      <w:pPr>
        <w:widowControl w:val="0"/>
        <w:tabs>
          <w:tab w:leader="none" w:pos="284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Сохранение уникальной природы Донского края</w:t>
      </w:r>
    </w:p>
    <w:p w14:paraId="7F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региональных систем рационального природопользования, охраны окружающей среды и ликвидации накопленного вреда (восстановление нарушенных степных, водных и лесных эко</w:t>
      </w:r>
      <w:r>
        <w:rPr>
          <w:rFonts w:ascii="Times New Roman" w:hAnsi="Times New Roman"/>
          <w:color w:val="000000"/>
          <w:sz w:val="28"/>
        </w:rPr>
        <w:t xml:space="preserve">систем, рекультивация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мелиорация техногенных объектов).</w:t>
      </w:r>
    </w:p>
    <w:p w14:paraId="80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Внедрение всеобщего экологического просвещения населения. Продвижение экологически ответственных практик ведения бизнеса.</w:t>
      </w:r>
    </w:p>
    <w:p w14:paraId="81020000">
      <w:pPr>
        <w:widowControl w:val="0"/>
        <w:tabs>
          <w:tab w:leader="none" w:pos="426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 Сохранение для будущих поколений </w:t>
      </w:r>
      <w:r>
        <w:rPr>
          <w:rFonts w:ascii="Times New Roman" w:hAnsi="Times New Roman"/>
          <w:color w:val="000000"/>
          <w:sz w:val="28"/>
        </w:rPr>
        <w:t>культурного и исторического наследия Донской земли.</w:t>
      </w:r>
    </w:p>
    <w:p w14:paraId="82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Углубление духовно-нравственного воспитания молодежи на основе российских традиционных ценностей, сохранение и развитие творческого наследия донских деятелей культуры: литераторов мирового масштаба –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А.П. </w:t>
      </w:r>
      <w:r>
        <w:rPr>
          <w:rFonts w:ascii="Times New Roman" w:hAnsi="Times New Roman"/>
          <w:color w:val="000000"/>
          <w:sz w:val="28"/>
        </w:rPr>
        <w:t xml:space="preserve">Чехова, М.А. Шолохова, А.В. Калинина; великих художников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М.С. Сарьяна, М.П. Грекова, А.И. Лактионова; философов и мыслителей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А.Ф. Лосева и М.К. Петрова; музыкальных деятелей М.Ф. Гнесина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Ю.А. Башмета, К.А. Назаретова; артистов театра и кино Р.Я. Плятта,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Ф.Г. Раневской, А.Л. Кайдановского. Усиление патриотического воспитания молодежи на примерах исторических событий и личностей великой русской истории, подвигов героев донского казачества, ВОВ, участников СВО. Сохранение самобытного историко-культурного нас</w:t>
      </w:r>
      <w:r>
        <w:rPr>
          <w:rFonts w:ascii="Times New Roman" w:hAnsi="Times New Roman"/>
          <w:color w:val="000000"/>
          <w:sz w:val="28"/>
        </w:rPr>
        <w:t>ледия донского казачества</w:t>
      </w:r>
      <w:r>
        <w:rPr>
          <w:rFonts w:ascii="Times New Roman" w:hAnsi="Times New Roman"/>
          <w:color w:val="CF543F"/>
          <w:sz w:val="28"/>
        </w:rPr>
        <w:t>.</w:t>
      </w:r>
    </w:p>
    <w:p w14:paraId="83020000">
      <w:pPr>
        <w:pStyle w:val="Style_8"/>
        <w:widowControl w:val="0"/>
        <w:spacing w:before="0"/>
        <w:ind/>
        <w:rPr>
          <w:rFonts w:ascii="Times New Roman" w:hAnsi="Times New Roman"/>
          <w:color w:val="CF543F"/>
        </w:rPr>
      </w:pPr>
    </w:p>
    <w:p w14:paraId="84020000">
      <w:bookmarkStart w:id="20" w:name="__RefHeading___20"/>
      <w:bookmarkEnd w:id="20"/>
      <w:pPr>
        <w:pStyle w:val="Style_8"/>
        <w:widowControl w:val="0"/>
        <w:spacing w:before="0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3.2. Цели устойчивого развития</w:t>
      </w:r>
    </w:p>
    <w:p w14:paraId="85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86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Система целеполагания Стратегии формируется на основе синхронизации с семью национальными целями, которые направлены на обеспечение устойчивого экономического и социального развития, на укрепление</w:t>
      </w:r>
      <w:r>
        <w:rPr>
          <w:rFonts w:ascii="Times New Roman" w:hAnsi="Times New Roman"/>
          <w:color w:val="000000"/>
          <w:sz w:val="28"/>
        </w:rPr>
        <w:t xml:space="preserve"> государственного, культурно-ценностного и экономического суверенитета страны, на увеличение численности населения и повышение уровня жизни граждан, основываясь на традиционных российских духовно-нравственных ценностях и принципах патриотизма, приоритета ч</w:t>
      </w:r>
      <w:r>
        <w:rPr>
          <w:rFonts w:ascii="Times New Roman" w:hAnsi="Times New Roman"/>
          <w:color w:val="000000"/>
          <w:sz w:val="28"/>
        </w:rPr>
        <w:t>еловека, социальной справедливости и равенства возможностей, на обеспечение безопасности государства и общественной безопасности, открытости внешнему миру, экономического развития, основанного на честной конкуренции, предпринимательстве и частной инициатив</w:t>
      </w:r>
      <w:r>
        <w:rPr>
          <w:rFonts w:ascii="Times New Roman" w:hAnsi="Times New Roman"/>
          <w:color w:val="000000"/>
          <w:sz w:val="28"/>
        </w:rPr>
        <w:t xml:space="preserve">е, высокой эффективности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технологичности. В рамках комплекса целеполагания Стратегии по каждому разделу определены ключевые показатели эффективности, представленные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87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Сохранение населения, укрепление здоровья и повышение</w:t>
      </w:r>
      <w:r>
        <w:rPr>
          <w:rFonts w:ascii="Times New Roman" w:hAnsi="Times New Roman"/>
          <w:color w:val="000000"/>
          <w:sz w:val="28"/>
        </w:rPr>
        <w:t xml:space="preserve"> благополучия людей, поддержка семьи:</w:t>
      </w:r>
    </w:p>
    <w:p w14:paraId="88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демография;</w:t>
      </w:r>
    </w:p>
    <w:p w14:paraId="89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здравоохранение;</w:t>
      </w:r>
    </w:p>
    <w:p w14:paraId="8A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труд и социальное развитие;</w:t>
      </w:r>
    </w:p>
    <w:p w14:paraId="8B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спорт.</w:t>
      </w:r>
    </w:p>
    <w:p w14:paraId="8C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Реализация потенциала каждого человека, развитие его талантов, воспитание патриотичной и социально ответственной личности:</w:t>
      </w:r>
    </w:p>
    <w:p w14:paraId="8D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образование;</w:t>
      </w:r>
    </w:p>
    <w:p w14:paraId="8E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культура;</w:t>
      </w:r>
    </w:p>
    <w:p w14:paraId="8F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молод</w:t>
      </w:r>
      <w:r>
        <w:rPr>
          <w:rFonts w:ascii="Times New Roman" w:hAnsi="Times New Roman"/>
          <w:color w:val="000000"/>
          <w:sz w:val="28"/>
        </w:rPr>
        <w:t>ежная политика;</w:t>
      </w:r>
    </w:p>
    <w:p w14:paraId="90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государственная национальная политика;</w:t>
      </w:r>
    </w:p>
    <w:p w14:paraId="91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казачество.</w:t>
      </w:r>
    </w:p>
    <w:p w14:paraId="92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Комфортная и безопасная среда для жизни:</w:t>
      </w:r>
    </w:p>
    <w:p w14:paraId="93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строительный комплекс;</w:t>
      </w:r>
    </w:p>
    <w:p w14:paraId="94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жилищно-коммунальное хозяйство;</w:t>
      </w:r>
    </w:p>
    <w:p w14:paraId="95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транспорт;</w:t>
      </w:r>
    </w:p>
    <w:p w14:paraId="96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инженерно-энергетическая инфраструктура.</w:t>
      </w:r>
    </w:p>
    <w:p w14:paraId="97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Экологическое б</w:t>
      </w:r>
      <w:r>
        <w:rPr>
          <w:rFonts w:ascii="Times New Roman" w:hAnsi="Times New Roman"/>
          <w:color w:val="000000"/>
          <w:sz w:val="28"/>
        </w:rPr>
        <w:t>лагополучие:</w:t>
      </w:r>
    </w:p>
    <w:p w14:paraId="98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экология;</w:t>
      </w:r>
    </w:p>
    <w:p w14:paraId="99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адаптация к изменениям климата;</w:t>
      </w:r>
    </w:p>
    <w:p w14:paraId="9A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безопасность общества.</w:t>
      </w:r>
    </w:p>
    <w:p w14:paraId="9B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 Устойчивая и динамичная экономика:</w:t>
      </w:r>
    </w:p>
    <w:p w14:paraId="9C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малый и средний бизнес;</w:t>
      </w:r>
    </w:p>
    <w:p w14:paraId="9D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инвестиции;</w:t>
      </w:r>
    </w:p>
    <w:p w14:paraId="9E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экспорт;</w:t>
      </w:r>
    </w:p>
    <w:p w14:paraId="9F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производительность труда;</w:t>
      </w:r>
    </w:p>
    <w:p w14:paraId="A0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туризм;</w:t>
      </w:r>
    </w:p>
    <w:p w14:paraId="A1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креативные индустрии;</w:t>
      </w:r>
    </w:p>
    <w:p w14:paraId="A2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агропромышленный комплекс;</w:t>
      </w:r>
    </w:p>
    <w:p w14:paraId="A3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потребительский рынок;</w:t>
      </w:r>
    </w:p>
    <w:p w14:paraId="A4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кадровое обеспечение экономики района.</w:t>
      </w:r>
    </w:p>
    <w:p w14:paraId="A5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 Технологическое лидерство:</w:t>
      </w:r>
    </w:p>
    <w:p w14:paraId="A6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промышленность;</w:t>
      </w:r>
    </w:p>
    <w:p w14:paraId="A7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научно-технологическое развитие.</w:t>
      </w:r>
    </w:p>
    <w:p w14:paraId="A8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 Цифровая трансформация государственного и муниципального управления, экономики и социальной</w:t>
      </w:r>
      <w:r>
        <w:rPr>
          <w:rFonts w:ascii="Times New Roman" w:hAnsi="Times New Roman"/>
          <w:color w:val="000000"/>
          <w:sz w:val="28"/>
        </w:rPr>
        <w:t xml:space="preserve"> сферы:</w:t>
      </w:r>
    </w:p>
    <w:p w14:paraId="A9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информационно-коммуникационные технологии и инфраструктура;</w:t>
      </w:r>
    </w:p>
    <w:p w14:paraId="AA020000">
      <w:pPr>
        <w:widowControl w:val="0"/>
        <w:tabs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цифровизация государственного и муниципального управления.</w:t>
      </w:r>
    </w:p>
    <w:p w14:paraId="AB020000">
      <w:pPr>
        <w:pStyle w:val="Style_8"/>
        <w:widowControl w:val="0"/>
        <w:spacing w:before="0"/>
        <w:ind/>
        <w:rPr>
          <w:rFonts w:ascii="Times New Roman" w:hAnsi="Times New Roman"/>
          <w:color w:val="CF543F"/>
        </w:rPr>
      </w:pPr>
    </w:p>
    <w:p w14:paraId="AC020000">
      <w:bookmarkStart w:id="21" w:name="__RefHeading___21"/>
      <w:bookmarkEnd w:id="21"/>
      <w:pPr>
        <w:pStyle w:val="Style_8"/>
        <w:widowControl w:val="0"/>
        <w:spacing w:before="0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3.3. Целевой сценарий развития</w:t>
      </w:r>
    </w:p>
    <w:p w14:paraId="AD020000">
      <w:pPr>
        <w:widowControl w:val="0"/>
        <w:spacing w:after="0" w:before="0" w:line="240" w:lineRule="auto"/>
        <w:ind w:firstLine="709" w:left="0"/>
        <w:jc w:val="center"/>
        <w:rPr>
          <w:rFonts w:ascii="Times New Roman" w:hAnsi="Times New Roman"/>
          <w:color w:val="000000"/>
          <w:sz w:val="28"/>
        </w:rPr>
      </w:pPr>
    </w:p>
    <w:p w14:paraId="AE02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Целевой сценарий представляет собой оптимальный вариант социально-экономического развития Обливского района</w:t>
      </w:r>
      <w:r>
        <w:rPr>
          <w:rFonts w:ascii="Times New Roman" w:hAnsi="Times New Roman"/>
          <w:color w:val="000000"/>
          <w:sz w:val="28"/>
        </w:rPr>
        <w:t>, обеспечивающий достижение установленных приоритетов и целей Стратегии при улучшении макро</w:t>
      </w:r>
      <w:r>
        <w:rPr>
          <w:rFonts w:ascii="Times New Roman" w:hAnsi="Times New Roman"/>
          <w:color w:val="000000"/>
          <w:sz w:val="28"/>
        </w:rPr>
        <w:t>экономических условий и повышении эффективности использования ресурсов района.</w:t>
      </w:r>
      <w:r>
        <w:rPr>
          <w:rFonts w:ascii="Times New Roman" w:hAnsi="Times New Roman"/>
          <w:color w:val="000000"/>
          <w:sz w:val="28"/>
        </w:rPr>
        <w:t xml:space="preserve"> Это сценарий полноценной реализации стратегических проектных инициатив, м</w:t>
      </w:r>
      <w:r>
        <w:rPr>
          <w:rFonts w:ascii="Times New Roman" w:hAnsi="Times New Roman"/>
          <w:color w:val="000000"/>
          <w:sz w:val="28"/>
        </w:rPr>
        <w:t>еняющих форматы и технологии функционирования социально-экономических подсистем. В этом случае муниципальное управление проактивно реагирует на изменения внешней среды, предвосхищает новые тренды, максимально используя и формируя благоприятные во</w:t>
      </w:r>
      <w:r>
        <w:rPr>
          <w:rFonts w:ascii="Times New Roman" w:hAnsi="Times New Roman"/>
          <w:color w:val="000000"/>
          <w:sz w:val="28"/>
        </w:rPr>
        <w:t xml:space="preserve">зможности </w:t>
      </w: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 xml:space="preserve">ля развития. </w:t>
      </w:r>
    </w:p>
    <w:p w14:paraId="AF02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 основе разработки целевого сценария предусмотрен оптимальный </w:t>
      </w:r>
      <w:r>
        <w:rPr>
          <w:rFonts w:ascii="Times New Roman" w:hAnsi="Times New Roman"/>
          <w:color w:val="000000"/>
          <w:sz w:val="28"/>
        </w:rPr>
        <w:t>вариант социально-экономического развития Обливского района, пр</w:t>
      </w:r>
      <w:r>
        <w:rPr>
          <w:rFonts w:ascii="Times New Roman" w:hAnsi="Times New Roman"/>
          <w:color w:val="000000"/>
          <w:sz w:val="28"/>
        </w:rPr>
        <w:t>едполагающий глубокую трансформацию и ускоренный рост социально-экономических подсистем района на базе полноценной реализации стратегических проектных инициатив.</w:t>
      </w:r>
    </w:p>
    <w:p w14:paraId="B0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Осуществление целевого сценария Стратегии определяется достижением комплекса демографических </w:t>
      </w:r>
      <w:r>
        <w:rPr>
          <w:rFonts w:ascii="Times New Roman" w:hAnsi="Times New Roman"/>
          <w:color w:val="000000"/>
          <w:sz w:val="28"/>
        </w:rPr>
        <w:t>и макроэкономических индикаторов на всех этапах его реализации.</w:t>
      </w:r>
    </w:p>
    <w:p w14:paraId="B102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Целевой сценарий реализации Стратегии включает три этапа.</w:t>
      </w:r>
    </w:p>
    <w:p w14:paraId="B202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Первый (2019 – 2021 годы) и второй (2022 – 2024 годы) этапы на момент к</w:t>
      </w:r>
      <w:r>
        <w:rPr>
          <w:rFonts w:ascii="Times New Roman" w:hAnsi="Times New Roman"/>
          <w:color w:val="000000"/>
          <w:sz w:val="28"/>
        </w:rPr>
        <w:t>орректировки Стратегии выполнены.</w:t>
      </w:r>
    </w:p>
    <w:p w14:paraId="B302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Первый этап был нацелен на об</w:t>
      </w:r>
      <w:r>
        <w:rPr>
          <w:rFonts w:ascii="Times New Roman" w:hAnsi="Times New Roman"/>
          <w:color w:val="000000"/>
          <w:sz w:val="28"/>
        </w:rPr>
        <w:t xml:space="preserve">еспечение условий для экономического роста и базировался на реализации конкурентных преимуществ </w:t>
      </w: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айона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с целью повышения эффективности и управляемости экономики, роста качества человеческого капитала, обеспечения социального благополучия населения. Мощней</w:t>
      </w:r>
      <w:r>
        <w:rPr>
          <w:rFonts w:ascii="Times New Roman" w:hAnsi="Times New Roman"/>
          <w:color w:val="000000"/>
          <w:sz w:val="28"/>
        </w:rPr>
        <w:t>шим вызовом на 1 этапе для реализации основных положений Стратегии являлась угроза распространения новой коронавирусной инфекции COVID-19. В целях противодействия данной угрозе в 2020 году был принят ряд ограничительных мер, оказавших существенное негативн</w:t>
      </w:r>
      <w:r>
        <w:rPr>
          <w:rFonts w:ascii="Times New Roman" w:hAnsi="Times New Roman"/>
          <w:color w:val="000000"/>
          <w:sz w:val="28"/>
        </w:rPr>
        <w:t>ое влияние на динамику социально-экономического развития, в результате чего ряд целевых показателей не был достигнут. Однако на данном этапе были мобилизованы дополнительные ресурсы и оказана своевременная помощь населению и бизнесу для преодоления негатив</w:t>
      </w:r>
      <w:r>
        <w:rPr>
          <w:rFonts w:ascii="Times New Roman" w:hAnsi="Times New Roman"/>
          <w:color w:val="000000"/>
          <w:sz w:val="28"/>
        </w:rPr>
        <w:t xml:space="preserve">ного сценария, тем самым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по итогам 2021 года была обеспечена стабилизация рынка труда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восстановление экономической активности.</w:t>
      </w:r>
    </w:p>
    <w:p w14:paraId="B4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Второй этап реализовывался в условиях беспрецедентного внешнего санкционного давления на российскую экономику со стороны недруж</w:t>
      </w:r>
      <w:r>
        <w:rPr>
          <w:rFonts w:ascii="Times New Roman" w:hAnsi="Times New Roman"/>
          <w:color w:val="000000"/>
          <w:sz w:val="28"/>
        </w:rPr>
        <w:t>ественных стран, нарастающей нестабильности мировой экономики, тенденций частичной фрагментации мировой торговой системы, политизации внешнеэкономических связей. Данный период также характеризовался наличием макроэкономических факторов, связанных с адаптац</w:t>
      </w:r>
      <w:r>
        <w:rPr>
          <w:rFonts w:ascii="Times New Roman" w:hAnsi="Times New Roman"/>
          <w:color w:val="000000"/>
          <w:sz w:val="28"/>
        </w:rPr>
        <w:t>ией российской экономики к новым вызовам, к обеспечению эффективного развития пром</w:t>
      </w:r>
      <w:r>
        <w:rPr>
          <w:rFonts w:ascii="Times New Roman" w:hAnsi="Times New Roman"/>
          <w:color w:val="000000"/>
          <w:sz w:val="28"/>
        </w:rPr>
        <w:t>ышленности в контексте нужд СВО.</w:t>
      </w:r>
      <w:r>
        <w:rPr>
          <w:rFonts w:ascii="Times New Roman" w:hAnsi="Times New Roman"/>
          <w:color w:val="000000"/>
          <w:sz w:val="28"/>
        </w:rPr>
        <w:t xml:space="preserve"> В рамках данного этапа управленческие решения были нацелены на поддержку бизнеса и повышение устойчивости экономики за счет реализации конкур</w:t>
      </w:r>
      <w:r>
        <w:rPr>
          <w:rFonts w:ascii="Times New Roman" w:hAnsi="Times New Roman"/>
          <w:color w:val="000000"/>
          <w:sz w:val="28"/>
        </w:rPr>
        <w:t xml:space="preserve">ентных преимуществ региона и формирование необходимых элементов конкурентоспособности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тесной корреляции с выполнением основных целей и задач развития, определенных в Указах Президента Российской Федерации от 07.05.2018 № 204 и от 21.07.2</w:t>
      </w:r>
      <w:r>
        <w:rPr>
          <w:rFonts w:ascii="Times New Roman" w:hAnsi="Times New Roman"/>
          <w:color w:val="000000"/>
          <w:sz w:val="28"/>
        </w:rPr>
        <w:t>020 № 474.</w:t>
      </w:r>
      <w:r>
        <w:rPr>
          <w:rFonts w:ascii="Times New Roman" w:hAnsi="Times New Roman"/>
          <w:color w:val="000000"/>
          <w:sz w:val="28"/>
        </w:rPr>
        <w:t>Обливский район</w:t>
      </w:r>
      <w:r>
        <w:rPr>
          <w:rFonts w:ascii="Times New Roman" w:hAnsi="Times New Roman"/>
          <w:color w:val="000000"/>
          <w:sz w:val="28"/>
        </w:rPr>
        <w:t xml:space="preserve"> продемонстрировал уверенный рост экономики с опорой на реальный сектор и рост реальных доходов населения, внесла вклад в обеспечение российского технологического суверенитета, активного импортозамещения и восстановительного роста.</w:t>
      </w:r>
      <w:r>
        <w:rPr>
          <w:rFonts w:ascii="Times New Roman" w:hAnsi="Times New Roman"/>
          <w:color w:val="CF543F"/>
          <w:sz w:val="28"/>
        </w:rPr>
        <w:t xml:space="preserve"> </w:t>
      </w:r>
    </w:p>
    <w:p w14:paraId="B5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Третий этап (2025 – 2030 годы) нацелен на полномасштабную реализацию в</w:t>
      </w:r>
      <w:r>
        <w:rPr>
          <w:rFonts w:ascii="Times New Roman" w:hAnsi="Times New Roman"/>
          <w:color w:val="000000"/>
          <w:sz w:val="28"/>
        </w:rPr>
        <w:t xml:space="preserve">озможностей развития за счет запуска стратегических проектных инициатив. Целевые установки третьего этапа синхронизированы с Указами Президента Российской Федерации от 07.05.2024 № 309 и от 28.11.2024 </w:t>
      </w:r>
      <w:r>
        <w:rPr>
          <w:rFonts w:ascii="Times New Roman" w:hAnsi="Times New Roman"/>
          <w:color w:val="000000"/>
          <w:sz w:val="28"/>
        </w:rPr>
        <w:t xml:space="preserve">№ 1014. Ключевой задачей является создание условий для </w:t>
      </w:r>
      <w:r>
        <w:rPr>
          <w:rFonts w:ascii="Times New Roman" w:hAnsi="Times New Roman"/>
          <w:color w:val="000000"/>
          <w:sz w:val="28"/>
        </w:rPr>
        <w:t>достижения  конкурентоспособности Обливского района.</w:t>
      </w:r>
      <w:r>
        <w:rPr>
          <w:rFonts w:ascii="Times New Roman" w:hAnsi="Times New Roman"/>
          <w:color w:val="CF543F"/>
          <w:sz w:val="28"/>
        </w:rPr>
        <w:t xml:space="preserve"> </w:t>
      </w:r>
    </w:p>
    <w:p w14:paraId="B6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Индикаторы реализации целевого сценария Стратегии приведены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таблице № 5.</w:t>
      </w:r>
    </w:p>
    <w:p w14:paraId="B7020000">
      <w:pPr>
        <w:widowControl w:val="0"/>
        <w:spacing w:after="0" w:before="0" w:line="240" w:lineRule="auto"/>
        <w:ind/>
        <w:jc w:val="right"/>
        <w:rPr>
          <w:rFonts w:ascii="Times New Roman" w:hAnsi="Times New Roman"/>
          <w:color w:val="CF543F"/>
          <w:sz w:val="28"/>
        </w:rPr>
      </w:pPr>
    </w:p>
    <w:p w14:paraId="B8020000">
      <w:pPr>
        <w:widowControl w:val="0"/>
        <w:spacing w:after="0" w:before="0" w:line="240" w:lineRule="auto"/>
        <w:ind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Таблица № 5</w:t>
      </w:r>
    </w:p>
    <w:p w14:paraId="B902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BA02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ИНДИКАТОРЫ</w:t>
      </w:r>
    </w:p>
    <w:p w14:paraId="BB02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реализации целевого сценария Стратегии</w:t>
      </w:r>
    </w:p>
    <w:p w14:paraId="BC02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CF543F"/>
          <w:sz w:val="28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6614"/>
        <w:gridCol w:w="1376"/>
        <w:gridCol w:w="1648"/>
      </w:tblGrid>
      <w:tr>
        <w:trPr>
          <w:tblHeader/>
        </w:trPr>
        <w:tc>
          <w:tcPr>
            <w:tcW w:type="dxa" w:w="6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D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Наименование показателя</w:t>
            </w:r>
          </w:p>
        </w:tc>
        <w:tc>
          <w:tcPr>
            <w:tcW w:type="dxa" w:w="1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E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2024 год</w:t>
            </w:r>
          </w:p>
        </w:tc>
        <w:tc>
          <w:tcPr>
            <w:tcW w:type="dxa" w:w="1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BF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2030 год</w:t>
            </w:r>
          </w:p>
        </w:tc>
      </w:tr>
    </w:tbl>
    <w:p w14:paraId="C0020000">
      <w:pPr>
        <w:spacing w:after="0" w:before="0" w:line="240" w:lineRule="auto"/>
        <w:ind/>
        <w:rPr>
          <w:rFonts w:ascii="Times New Roman" w:hAnsi="Times New Roman"/>
          <w:color w:val="CF543F"/>
          <w:sz w:val="2"/>
        </w:rPr>
      </w:pP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57"/>
          <w:right w:type="dxa" w:w="57"/>
        </w:tblCellMar>
      </w:tblPr>
      <w:tblGrid>
        <w:gridCol w:w="6614"/>
        <w:gridCol w:w="1376"/>
        <w:gridCol w:w="1648"/>
      </w:tblGrid>
      <w:tr>
        <w:trPr>
          <w:tblHeader/>
        </w:trPr>
        <w:tc>
          <w:tcPr>
            <w:tcW w:type="dxa" w:w="6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1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1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2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3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>
        <w:tc>
          <w:tcPr>
            <w:tcW w:type="dxa" w:w="6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4020000">
            <w:pPr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Рост физического объема промышленной продукции</w:t>
            </w:r>
            <w:r>
              <w:rPr>
                <w:rFonts w:ascii="Times New Roman" w:hAnsi="Times New Roman"/>
                <w:color w:val="000000"/>
                <w:sz w:val="24"/>
              </w:rPr>
              <w:t>(в процентах к 2024 году)</w:t>
            </w:r>
          </w:p>
        </w:tc>
        <w:tc>
          <w:tcPr>
            <w:tcW w:type="dxa" w:w="1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5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type="dxa" w:w="1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6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105,0</w:t>
            </w:r>
          </w:p>
        </w:tc>
      </w:tr>
      <w:tr>
        <w:tc>
          <w:tcPr>
            <w:tcW w:type="dxa" w:w="6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7020000">
            <w:pPr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Рост физического объема инвестиций в основной капитал </w:t>
            </w:r>
          </w:p>
          <w:p w14:paraId="C8020000">
            <w:pPr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(в процентах к 2024 году)</w:t>
            </w:r>
          </w:p>
        </w:tc>
        <w:tc>
          <w:tcPr>
            <w:tcW w:type="dxa" w:w="1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9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100,0</w:t>
            </w:r>
          </w:p>
        </w:tc>
        <w:tc>
          <w:tcPr>
            <w:tcW w:type="dxa" w:w="1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A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109,0</w:t>
            </w:r>
          </w:p>
        </w:tc>
      </w:tr>
      <w:tr>
        <w:tc>
          <w:tcPr>
            <w:tcW w:type="dxa" w:w="66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B020000">
            <w:pPr>
              <w:widowControl w:val="0"/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Среднемесячная начисленная заработная плата (рублей)</w:t>
            </w:r>
          </w:p>
        </w:tc>
        <w:tc>
          <w:tcPr>
            <w:tcW w:type="dxa" w:w="137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C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43259,1</w:t>
            </w:r>
          </w:p>
        </w:tc>
        <w:tc>
          <w:tcPr>
            <w:tcW w:type="dxa" w:w="1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left w:type="dxa" w:w="57"/>
              <w:right w:type="dxa" w:w="57"/>
            </w:tcMar>
          </w:tcPr>
          <w:p w14:paraId="CD02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65000,0</w:t>
            </w:r>
          </w:p>
        </w:tc>
      </w:tr>
    </w:tbl>
    <w:p w14:paraId="CE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CF02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На верхнем уровне система целеполагания представлена тремя показателями, которые обобщают результаты реализации Стратегии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по целевому сценарию. В соответствии с ним достижение </w:t>
      </w:r>
      <w:r>
        <w:rPr>
          <w:rFonts w:ascii="Times New Roman" w:hAnsi="Times New Roman"/>
          <w:color w:val="000000"/>
          <w:sz w:val="28"/>
        </w:rPr>
        <w:t xml:space="preserve">целей социально-экономического развития Обливского района в рамках реализации третьего этапа позволит к 2030 году увеличить </w:t>
      </w:r>
      <w:r>
        <w:rPr>
          <w:rFonts w:ascii="Times New Roman" w:hAnsi="Times New Roman"/>
          <w:color w:val="000000"/>
          <w:sz w:val="28"/>
        </w:rPr>
        <w:t xml:space="preserve"> обеспечить рост инвестиций в основной капитал на 9 процентов к уровню 2024 года</w:t>
      </w:r>
      <w:r>
        <w:rPr>
          <w:rFonts w:ascii="Times New Roman" w:hAnsi="Times New Roman"/>
          <w:color w:val="000000"/>
          <w:sz w:val="28"/>
        </w:rPr>
        <w:t xml:space="preserve">, а также среднемесячную начисленную заработную плату  до 55 </w:t>
      </w:r>
      <w:r>
        <w:rPr>
          <w:rFonts w:ascii="Times New Roman" w:hAnsi="Times New Roman"/>
          <w:color w:val="000000"/>
          <w:sz w:val="28"/>
        </w:rPr>
        <w:t>тыс. рублей.</w:t>
      </w:r>
    </w:p>
    <w:p w14:paraId="D002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Приближаясь к стратегическому рубежу 2030 года, Обливский район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в результате проведения системных преобразований конвертирует свой потенциал в ускорение </w:t>
      </w:r>
      <w:r>
        <w:rPr>
          <w:rFonts w:ascii="Times New Roman" w:hAnsi="Times New Roman"/>
          <w:color w:val="000000"/>
          <w:sz w:val="28"/>
        </w:rPr>
        <w:t>экономического роста на базе модели технологического развития и создания территории социального благополучия за счет устойчивого роста доходов населения и модернизации социальной инфраструктуры.</w:t>
      </w:r>
    </w:p>
    <w:p w14:paraId="D1020000">
      <w:pPr>
        <w:pStyle w:val="Style_7"/>
        <w:widowControl w:val="0"/>
        <w:spacing w:after="0" w:before="0" w:line="240" w:lineRule="auto"/>
        <w:ind w:firstLine="0" w:left="0"/>
        <w:jc w:val="center"/>
        <w:rPr>
          <w:rFonts w:ascii="Times New Roman" w:hAnsi="Times New Roman"/>
          <w:b w:val="0"/>
          <w:color w:val="CF543F"/>
          <w:sz w:val="28"/>
        </w:rPr>
      </w:pPr>
    </w:p>
    <w:p w14:paraId="D2020000">
      <w:bookmarkStart w:id="22" w:name="__RefHeading___22"/>
      <w:bookmarkEnd w:id="22"/>
      <w:pPr>
        <w:pStyle w:val="Style_6"/>
      </w:pPr>
      <w:r>
        <w:t>4. Механизм реализации целевого сценария</w:t>
      </w:r>
    </w:p>
    <w:p w14:paraId="D3020000">
      <w:pPr>
        <w:pStyle w:val="Style_7"/>
        <w:widowControl w:val="0"/>
        <w:spacing w:after="0" w:before="0" w:line="240" w:lineRule="auto"/>
        <w:ind w:firstLine="0" w:lef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4</w:t>
      </w:r>
      <w:r>
        <w:rPr>
          <w:rFonts w:ascii="Times New Roman" w:hAnsi="Times New Roman"/>
          <w:b w:val="0"/>
          <w:color w:val="000000"/>
          <w:sz w:val="28"/>
        </w:rPr>
        <w:t>.1. Сохранение на</w:t>
      </w:r>
      <w:r>
        <w:rPr>
          <w:rFonts w:ascii="Times New Roman" w:hAnsi="Times New Roman"/>
          <w:b w:val="0"/>
          <w:color w:val="000000"/>
          <w:sz w:val="28"/>
        </w:rPr>
        <w:t xml:space="preserve">селения, </w:t>
      </w:r>
    </w:p>
    <w:p w14:paraId="D4020000">
      <w:pPr>
        <w:pStyle w:val="Style_7"/>
        <w:widowControl w:val="0"/>
        <w:spacing w:after="0" w:before="0" w:line="240" w:lineRule="auto"/>
        <w:ind w:firstLine="0" w:lef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 xml:space="preserve">укрепление здоровья и повышение </w:t>
      </w:r>
    </w:p>
    <w:p w14:paraId="D5020000">
      <w:pPr>
        <w:pStyle w:val="Style_7"/>
        <w:widowControl w:val="0"/>
        <w:spacing w:after="0" w:before="0" w:line="240" w:lineRule="auto"/>
        <w:ind w:firstLine="0" w:left="0"/>
        <w:jc w:val="center"/>
        <w:rPr>
          <w:rFonts w:ascii="Times New Roman" w:hAnsi="Times New Roman"/>
          <w:b w:val="0"/>
          <w:color w:val="000000"/>
          <w:sz w:val="28"/>
        </w:rPr>
      </w:pPr>
      <w:r>
        <w:rPr>
          <w:rFonts w:ascii="Times New Roman" w:hAnsi="Times New Roman"/>
          <w:b w:val="0"/>
          <w:color w:val="000000"/>
          <w:sz w:val="28"/>
        </w:rPr>
        <w:t>благополучия людей, поддержка семьи в Обливском районе</w:t>
      </w:r>
    </w:p>
    <w:p w14:paraId="D6020000">
      <w:bookmarkStart w:id="23" w:name="__RefHeading___23"/>
      <w:bookmarkEnd w:id="23"/>
      <w:pPr>
        <w:pStyle w:val="Style_8"/>
      </w:pPr>
      <w:r>
        <w:t>4.1.1. Демография</w:t>
      </w:r>
    </w:p>
    <w:p w14:paraId="D7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реализации национальной цели:</w:t>
      </w:r>
    </w:p>
    <w:p w14:paraId="D802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6"/>
        <w:gridCol w:w="4931"/>
        <w:gridCol w:w="1426"/>
        <w:gridCol w:w="1437"/>
        <w:gridCol w:w="1357"/>
      </w:tblGrid>
      <w:tr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4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показателей</w:t>
            </w:r>
          </w:p>
        </w:tc>
        <w:tc>
          <w:tcPr>
            <w:tcW w:type="dxa" w:w="1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</w:t>
            </w:r>
          </w:p>
        </w:tc>
      </w:tr>
    </w:tbl>
    <w:p w14:paraId="DE020000">
      <w:pPr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86"/>
        <w:gridCol w:w="4931"/>
        <w:gridCol w:w="1426"/>
        <w:gridCol w:w="1437"/>
        <w:gridCol w:w="1357"/>
      </w:tblGrid>
      <w:tr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Суммарный коэффициент рождаемости (коэффициент)</w:t>
            </w:r>
          </w:p>
        </w:tc>
        <w:tc>
          <w:tcPr>
            <w:tcW w:type="dxa" w:w="1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0,7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1,45</w:t>
            </w: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1,57</w:t>
            </w:r>
          </w:p>
        </w:tc>
      </w:tr>
      <w:tr>
        <w:tc>
          <w:tcPr>
            <w:tcW w:type="dxa" w:w="48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93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2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Уровень бедности (процентов)</w:t>
            </w:r>
          </w:p>
        </w:tc>
        <w:tc>
          <w:tcPr>
            <w:tcW w:type="dxa" w:w="142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</w:rPr>
              <w:t>9,7</w:t>
            </w:r>
          </w:p>
        </w:tc>
        <w:tc>
          <w:tcPr>
            <w:tcW w:type="dxa" w:w="14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9,7</w:t>
            </w:r>
          </w:p>
        </w:tc>
        <w:tc>
          <w:tcPr>
            <w:tcW w:type="dxa" w:w="13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2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8,7</w:t>
            </w:r>
          </w:p>
        </w:tc>
      </w:tr>
    </w:tbl>
    <w:p w14:paraId="EE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создание справедливого и комфортного общества с высоким уровнем жизни, доступными возможностями для семьи, карьеры и социальной реализации, а также с эффективной поддержкой уязвимых слоев населения.</w:t>
      </w:r>
    </w:p>
    <w:p w14:paraId="EF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F0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Низкий </w:t>
      </w:r>
      <w:r>
        <w:rPr>
          <w:rFonts w:ascii="Times New Roman" w:hAnsi="Times New Roman"/>
          <w:color w:val="000000"/>
          <w:sz w:val="28"/>
        </w:rPr>
        <w:t>уровень рождаемости.</w:t>
      </w:r>
    </w:p>
    <w:p w14:paraId="F1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Изменение ценностных установок молодого поколения относительно создания семьи и рождения детей в сторону отложения данного процесса.</w:t>
      </w:r>
    </w:p>
    <w:p w14:paraId="F2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Рост темпа смертности населения.</w:t>
      </w:r>
    </w:p>
    <w:p w14:paraId="F3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 Возникновение сложностей у отдельных семей с выходом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из затр</w:t>
      </w:r>
      <w:r>
        <w:rPr>
          <w:rFonts w:ascii="Times New Roman" w:hAnsi="Times New Roman"/>
          <w:color w:val="000000"/>
          <w:sz w:val="28"/>
        </w:rPr>
        <w:t>удненных жизненных ситуаций.</w:t>
      </w:r>
    </w:p>
    <w:p w14:paraId="F4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 Превышение темпа роста индекса потребительских цен над темпом роста среднедушевых денежных доходов населения.</w:t>
      </w:r>
    </w:p>
    <w:p w14:paraId="F502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В. Ключевые показатели эффективности представлены</w:t>
      </w:r>
      <w:r>
        <w:rPr>
          <w:rFonts w:ascii="Times New Roman" w:hAnsi="Times New Roman"/>
          <w:color w:val="CF543F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приложении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№ </w:t>
      </w:r>
      <w:r>
        <w:rPr>
          <w:rFonts w:ascii="Times New Roman" w:hAnsi="Times New Roman"/>
          <w:color w:val="000000"/>
          <w:sz w:val="28"/>
        </w:rPr>
        <w:t>8</w:t>
      </w:r>
      <w:r>
        <w:rPr>
          <w:rFonts w:ascii="Times New Roman" w:hAnsi="Times New Roman"/>
          <w:color w:val="000000"/>
          <w:sz w:val="28"/>
        </w:rPr>
        <w:t>.</w:t>
      </w:r>
    </w:p>
    <w:p w14:paraId="F602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F7020000">
      <w:pPr>
        <w:widowControl w:val="0"/>
        <w:tabs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1. </w:t>
      </w:r>
      <w:r>
        <w:rPr>
          <w:rFonts w:ascii="Times New Roman" w:hAnsi="Times New Roman"/>
          <w:color w:val="000000"/>
          <w:sz w:val="28"/>
        </w:rPr>
        <w:t xml:space="preserve">Совершенствование целостной системы поддержки семей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с детьми с учетом их потребностей, поддержка многодетности, стимулирование мер для рождения детей:</w:t>
      </w:r>
    </w:p>
    <w:p w14:paraId="F802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государственной социальной пом</w:t>
      </w:r>
      <w:r>
        <w:rPr>
          <w:rFonts w:ascii="Times New Roman" w:hAnsi="Times New Roman"/>
          <w:color w:val="000000"/>
          <w:sz w:val="28"/>
        </w:rPr>
        <w:t>ощи на основании социального контракта с приоритетным предоставлением многодетным семьям;</w:t>
      </w:r>
    </w:p>
    <w:p w14:paraId="F902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повышение информированности населения о мерах поддержки семей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с </w:t>
      </w:r>
      <w:r>
        <w:rPr>
          <w:rFonts w:ascii="Times New Roman" w:hAnsi="Times New Roman"/>
          <w:color w:val="000000"/>
          <w:sz w:val="28"/>
        </w:rPr>
        <w:t>детьми;</w:t>
      </w:r>
    </w:p>
    <w:p w14:paraId="FA02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оказание под</w:t>
      </w:r>
      <w:r>
        <w:rPr>
          <w:rFonts w:ascii="Times New Roman" w:hAnsi="Times New Roman"/>
          <w:color w:val="000000"/>
          <w:sz w:val="28"/>
        </w:rPr>
        <w:t>держки семьям в улучшении жилищных условий.</w:t>
      </w:r>
    </w:p>
    <w:p w14:paraId="FB02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2. Защита, сохранение и продвижение в обществе традиционных семейных ценностей, семейного образа жизни:</w:t>
      </w:r>
    </w:p>
    <w:p w14:paraId="FC02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образовательных и информационно-просветительских программ, информационных кампаний, направле</w:t>
      </w:r>
      <w:r>
        <w:rPr>
          <w:rFonts w:ascii="Times New Roman" w:hAnsi="Times New Roman"/>
          <w:color w:val="000000"/>
          <w:sz w:val="28"/>
        </w:rPr>
        <w:t>нных на укрепление института семьи, формирование «ответственного родительства»;</w:t>
      </w:r>
    </w:p>
    <w:p w14:paraId="FD02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формирование репродуктивных установок населения на рождение детей и многодетность; </w:t>
      </w:r>
    </w:p>
    <w:p w14:paraId="FE02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популяризация образа благополучной семьи с детьми, особенно многодетной.</w:t>
      </w:r>
    </w:p>
    <w:p w14:paraId="FF020000">
      <w:pPr>
        <w:widowControl w:val="0"/>
        <w:tabs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3. Повышение ка</w:t>
      </w:r>
      <w:r>
        <w:rPr>
          <w:rFonts w:ascii="Times New Roman" w:hAnsi="Times New Roman"/>
          <w:color w:val="000000"/>
          <w:sz w:val="28"/>
        </w:rPr>
        <w:t>чества жизни граждан старшего поколения:</w:t>
      </w:r>
    </w:p>
    <w:p w14:paraId="00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реализация региональной программы «Активное долголетие» (в том числе мероприятий, направленных на связь поколений);</w:t>
      </w:r>
    </w:p>
    <w:p w14:paraId="01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доступности медицинской помощи гражданам старшего поколения, в том числе с инвалидностью.</w:t>
      </w:r>
    </w:p>
    <w:p w14:paraId="0203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4. Предоставление мер поддержки и государственной помощи семьям с детьми:</w:t>
      </w:r>
    </w:p>
    <w:p w14:paraId="03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своевременное предоставление в полном объеме мер социальной поддержки, государственных социальных гарантий отдельным категориям граждан;</w:t>
      </w:r>
    </w:p>
    <w:p w14:paraId="04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применение технологии предоставления гос</w:t>
      </w:r>
      <w:r>
        <w:rPr>
          <w:rFonts w:ascii="Times New Roman" w:hAnsi="Times New Roman"/>
          <w:color w:val="000000"/>
          <w:sz w:val="28"/>
        </w:rPr>
        <w:t>ударственной социальной помощи на основании социального контракта как действенного средства повышения доходов малоимущих семей.</w:t>
      </w:r>
    </w:p>
    <w:p w14:paraId="0503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5. Обеспечение роста заработной платы работников:</w:t>
      </w:r>
    </w:p>
    <w:p w14:paraId="06030000">
      <w:pPr>
        <w:widowControl w:val="0"/>
        <w:tabs>
          <w:tab w:leader="none" w:pos="993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сохранения соотношения средней заработной платы отдельных категорий работников, определенных указами Президента Российской Федерации 2012 года;</w:t>
      </w:r>
    </w:p>
    <w:p w14:paraId="0703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6. Сопровождение семей в трудной жизненной ситуации:</w:t>
      </w:r>
    </w:p>
    <w:p w14:paraId="08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оказание помощи семьям с детьми, находящимся в трудной жизненной ситуации;</w:t>
      </w:r>
    </w:p>
    <w:p w14:paraId="09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положительного имиджа и повышение уровня доверия граждан к социальным службам.</w:t>
      </w:r>
    </w:p>
    <w:p w14:paraId="0A03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7. Обеспечение доступной среды с привязкой к месту проживания участникам СВО, получившим инвалидность:</w:t>
      </w:r>
    </w:p>
    <w:p w14:paraId="0B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мониторинг</w:t>
      </w:r>
      <w:r>
        <w:rPr>
          <w:rFonts w:ascii="Times New Roman" w:hAnsi="Times New Roman"/>
          <w:color w:val="000000"/>
          <w:sz w:val="28"/>
        </w:rPr>
        <w:t xml:space="preserve"> условий проживания участника СВО, получившего инвалидность;</w:t>
      </w:r>
    </w:p>
    <w:p w14:paraId="0C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соответствие предоставляемых технических средств реабилитации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адаптации жилья индивидуальным потребностям инвалида;</w:t>
      </w:r>
    </w:p>
    <w:p w14:paraId="0D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своевременное предоставление услуг по долговременного уходу.</w:t>
      </w:r>
    </w:p>
    <w:p w14:paraId="0E03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8. Укрепление в обществе ценности многопоколенной семьи, уважительного отношения к старшему поколению:</w:t>
      </w:r>
    </w:p>
    <w:p w14:paraId="0F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формирование социокультурных установок, нацеленных на повышение социального статуса граждан </w:t>
      </w:r>
      <w:r>
        <w:rPr>
          <w:rFonts w:ascii="Times New Roman" w:hAnsi="Times New Roman"/>
          <w:color w:val="000000"/>
          <w:sz w:val="28"/>
        </w:rPr>
        <w:t>старшего поколения и важности благополучного старения граждан старшего поколения;</w:t>
      </w:r>
    </w:p>
    <w:p w14:paraId="10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признание вклада старшего поколения в социальную, экономическую, культурную и политическую жизнь общества и использование их опыта во всех сферах жизнедеятельности с опорой на</w:t>
      </w:r>
      <w:r>
        <w:rPr>
          <w:rFonts w:ascii="Times New Roman" w:hAnsi="Times New Roman"/>
          <w:color w:val="000000"/>
          <w:sz w:val="28"/>
        </w:rPr>
        <w:t xml:space="preserve"> механизмы наставничества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добровольческой деятельности;</w:t>
      </w:r>
    </w:p>
    <w:p w14:paraId="11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пропаганда ценностей многопоколенной семьи, роли граждан старшего поколения в сохранении и укреплении семьи и воспитании подрастающих поколений, важности семьи в жизни самих граждан старшего поколени</w:t>
      </w:r>
      <w:r>
        <w:rPr>
          <w:rFonts w:ascii="Times New Roman" w:hAnsi="Times New Roman"/>
          <w:color w:val="000000"/>
          <w:sz w:val="28"/>
        </w:rPr>
        <w:t>я;</w:t>
      </w:r>
    </w:p>
    <w:p w14:paraId="12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информационных кампаний, направленных на преодоление стереотипов и дискриминации в отношении пожилых людей, а также информационных кампаний, которые подчеркивают важность преемственности поколений, семейных традиций и роли старшего поколения в</w:t>
      </w:r>
      <w:r>
        <w:rPr>
          <w:rFonts w:ascii="Times New Roman" w:hAnsi="Times New Roman"/>
          <w:color w:val="000000"/>
          <w:sz w:val="28"/>
        </w:rPr>
        <w:t xml:space="preserve"> воспитании молодежи;</w:t>
      </w:r>
    </w:p>
    <w:p w14:paraId="13030000">
      <w:pPr>
        <w:pStyle w:val="Style_10"/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9. Реализация мероприятий комплексной реабилитации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реабилитации инвалидов и создание доступной среды:</w:t>
      </w:r>
    </w:p>
    <w:p w14:paraId="14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обеспечение повышения уровня доступности приоритетных объектов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</w:t>
      </w:r>
      <w:r>
        <w:rPr>
          <w:rFonts w:ascii="Times New Roman" w:hAnsi="Times New Roman"/>
          <w:color w:val="000000"/>
          <w:sz w:val="28"/>
        </w:rPr>
        <w:t>услуг в приоритетных сферах жизнедеятельно</w:t>
      </w:r>
      <w:r>
        <w:rPr>
          <w:rFonts w:ascii="Times New Roman" w:hAnsi="Times New Roman"/>
          <w:color w:val="000000"/>
          <w:sz w:val="28"/>
        </w:rPr>
        <w:t>сти инвалидов и других маломобильных групп населения;</w:t>
      </w:r>
    </w:p>
    <w:p w14:paraId="1503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</w:t>
      </w:r>
      <w:r>
        <w:rPr>
          <w:rFonts w:ascii="Times New Roman" w:hAnsi="Times New Roman"/>
          <w:color w:val="000000"/>
          <w:sz w:val="28"/>
        </w:rPr>
        <w:t>атегические проектные инициативы:</w:t>
      </w:r>
    </w:p>
    <w:p w14:paraId="16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Внедрение на территории Обливского района проекта Ростовской области  «Время </w:t>
      </w:r>
      <w:r>
        <w:rPr>
          <w:rFonts w:ascii="Times New Roman" w:hAnsi="Times New Roman"/>
          <w:color w:val="000000"/>
          <w:sz w:val="28"/>
        </w:rPr>
        <w:t xml:space="preserve">активных», цель которого – информирование граждан старшего возраста </w:t>
      </w:r>
      <w:r>
        <w:rPr>
          <w:rFonts w:ascii="Times New Roman" w:hAnsi="Times New Roman"/>
          <w:color w:val="000000"/>
          <w:sz w:val="28"/>
        </w:rPr>
        <w:t>о проводимых культурно-досуговых, физкультурно-оздоровительных, образовательно-познавательных, социально-трудовых мероприятиях.</w:t>
      </w:r>
    </w:p>
    <w:p w14:paraId="17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Правовое просвещение старшего поколения.</w:t>
      </w:r>
    </w:p>
    <w:p w14:paraId="18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 «Управляй сво</w:t>
      </w:r>
      <w:r>
        <w:rPr>
          <w:rFonts w:ascii="Times New Roman" w:hAnsi="Times New Roman"/>
          <w:color w:val="000000"/>
          <w:sz w:val="28"/>
        </w:rPr>
        <w:t xml:space="preserve">им здоровьем» – просвещение граждан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о физиологических и психологических особенностях старения, гериатрических синдромах.</w:t>
      </w:r>
    </w:p>
    <w:p w14:paraId="19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 Создание пунктов проката предметов первой необходимости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для новорожденных (коляски, кроватки, пеленальные столики и другие предметы)</w:t>
      </w:r>
      <w:r>
        <w:rPr>
          <w:rFonts w:ascii="Times New Roman" w:hAnsi="Times New Roman"/>
          <w:color w:val="000000"/>
          <w:sz w:val="28"/>
        </w:rPr>
        <w:t xml:space="preserve"> для студенческих, молодых семей, одиноких матерей, иных категорий нуждающихся семей в соответствии с критериями, установленными субъектом Российской Федерации.</w:t>
      </w:r>
    </w:p>
    <w:p w14:paraId="1A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6</w:t>
      </w:r>
      <w:r>
        <w:rPr>
          <w:rFonts w:ascii="Times New Roman" w:hAnsi="Times New Roman"/>
          <w:color w:val="000000"/>
          <w:sz w:val="28"/>
        </w:rPr>
        <w:t>. </w:t>
      </w:r>
      <w:r>
        <w:rPr>
          <w:rFonts w:ascii="Times New Roman" w:hAnsi="Times New Roman"/>
          <w:color w:val="000000"/>
          <w:sz w:val="28"/>
        </w:rPr>
        <w:t xml:space="preserve">Компенсация не менее 50 процентов стоимости обучения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организациях среднего профессионально</w:t>
      </w:r>
      <w:r>
        <w:rPr>
          <w:rFonts w:ascii="Times New Roman" w:hAnsi="Times New Roman"/>
          <w:color w:val="000000"/>
          <w:sz w:val="28"/>
        </w:rPr>
        <w:t xml:space="preserve">го образования и высшего профессионального образования одного из детей многодетной семьи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при рождении третьего или последующих детей.</w:t>
      </w:r>
    </w:p>
    <w:p w14:paraId="1B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7. </w:t>
      </w:r>
      <w:r>
        <w:rPr>
          <w:rFonts w:ascii="Times New Roman" w:hAnsi="Times New Roman"/>
          <w:color w:val="000000"/>
          <w:sz w:val="28"/>
        </w:rPr>
        <w:t xml:space="preserve">Единовременная выплата в размере не менее 300 тыс. рублей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при рождении начиная с 1 января 2025 г. третьего или последую</w:t>
      </w:r>
      <w:r>
        <w:rPr>
          <w:rFonts w:ascii="Times New Roman" w:hAnsi="Times New Roman"/>
          <w:color w:val="000000"/>
          <w:sz w:val="28"/>
        </w:rPr>
        <w:t xml:space="preserve">щих детей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молодой семье.</w:t>
      </w:r>
    </w:p>
    <w:p w14:paraId="1C03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 Обеспечение максимального охвата предприятий и организаций Ростовской области коллективно-договорным регулированием.</w:t>
      </w:r>
    </w:p>
    <w:p w14:paraId="1D03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 Правовое просвещение в сфере охраны</w:t>
      </w:r>
      <w:r>
        <w:rPr>
          <w:rFonts w:ascii="Times New Roman" w:hAnsi="Times New Roman"/>
          <w:color w:val="000000"/>
          <w:sz w:val="28"/>
        </w:rPr>
        <w:t xml:space="preserve"> труда.</w:t>
      </w:r>
    </w:p>
    <w:p w14:paraId="1E03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10. Единовременная выплата в размере не менее 100 тысяч рублей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при постановке на учет по беременности женщине, обучающейся по очной форме обучения на территории Российской Федерации.</w:t>
      </w:r>
    </w:p>
    <w:p w14:paraId="1F03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 «Подарок новорожденному» каждой семье каждому новорожденному в виде электронного сертификата на приобретение товаров и вещей, необходимых </w:t>
      </w:r>
      <w:r>
        <w:rPr>
          <w:rFonts w:ascii="Times New Roman" w:hAnsi="Times New Roman"/>
          <w:color w:val="000000"/>
          <w:sz w:val="28"/>
        </w:rPr>
        <w:t>новорожденным детям.</w:t>
      </w:r>
    </w:p>
    <w:p w14:paraId="20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12. Реализация пилотного проекта на базе МФЦ – оформление льгот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других мер поддержки военнослужащим и их близким по единому заявлению</w:t>
      </w:r>
      <w:r>
        <w:rPr>
          <w:rFonts w:ascii="Times New Roman" w:hAnsi="Times New Roman"/>
          <w:color w:val="CF543F"/>
          <w:sz w:val="28"/>
        </w:rPr>
        <w:t>.</w:t>
      </w:r>
    </w:p>
    <w:p w14:paraId="21030000">
      <w:bookmarkStart w:id="24" w:name="__RefHeading___24"/>
      <w:bookmarkEnd w:id="24"/>
      <w:pPr>
        <w:pStyle w:val="Style_8"/>
      </w:pPr>
      <w:r>
        <w:t>4.1.2. Здравоохранение</w:t>
      </w:r>
    </w:p>
    <w:p w14:paraId="22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создание оптимальных условий для достижения высок</w:t>
      </w:r>
      <w:r>
        <w:rPr>
          <w:rFonts w:ascii="Times New Roman" w:hAnsi="Times New Roman"/>
          <w:color w:val="000000"/>
          <w:sz w:val="28"/>
        </w:rPr>
        <w:t>ой продолжительности жизни населения региона, высокого уровня здоровья и активности, обеспечивая доступность и качество профилактики, диагностики, лечения и реабилитации для каждого жителя региона.</w:t>
      </w:r>
    </w:p>
    <w:p w14:paraId="23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24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Низкий уровень показателя ожидаем</w:t>
      </w:r>
      <w:r>
        <w:rPr>
          <w:rFonts w:ascii="Times New Roman" w:hAnsi="Times New Roman"/>
          <w:color w:val="000000"/>
          <w:sz w:val="28"/>
        </w:rPr>
        <w:t xml:space="preserve">ой продолжительности жизни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при рождении.</w:t>
      </w:r>
    </w:p>
    <w:p w14:paraId="25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Снижение уровня показателя рождаемости.</w:t>
      </w:r>
    </w:p>
    <w:p w14:paraId="26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Недостаточный уровень доступности и качества медицинской помощи.</w:t>
      </w:r>
    </w:p>
    <w:p w14:paraId="27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Низкий уровень удовлетворенности населения медицинской помощью.</w:t>
      </w:r>
    </w:p>
    <w:p w14:paraId="28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 Дефицит медицинских кадров в медиц</w:t>
      </w:r>
      <w:r>
        <w:rPr>
          <w:rFonts w:ascii="Times New Roman" w:hAnsi="Times New Roman"/>
          <w:color w:val="000000"/>
          <w:sz w:val="28"/>
        </w:rPr>
        <w:t>инских организациях системы здравоохранения региона.</w:t>
      </w:r>
    </w:p>
    <w:p w14:paraId="2903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В. Ключевые показатели эффективности представлены в приложении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№ 8.</w:t>
      </w:r>
    </w:p>
    <w:p w14:paraId="2A03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2B03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 Снижение смертности населения Обливского района от всех причин:</w:t>
      </w:r>
    </w:p>
    <w:p w14:paraId="2C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68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снижение уровня младенческой смертности; </w:t>
      </w:r>
    </w:p>
    <w:p w14:paraId="2D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68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системы профилактики заболеваний, включая социально значимые инфекционные заболевания;</w:t>
      </w:r>
    </w:p>
    <w:p w14:paraId="2E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68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роли профилактической составляющей на основе профилактических медицинских осмотров и диспансеризаций, диспансерного наблюдения и углубленного профилактического консультирования, в том числе с использованием передвижных медицинских комплексов;</w:t>
      </w:r>
    </w:p>
    <w:p w14:paraId="2F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680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sz w:val="28"/>
        </w:rPr>
        <w:t>ежегодное проведение иммунопрофилактики инфекционных заболеваний в соответствии с Национальным календарем профилактических</w:t>
      </w:r>
      <w:r>
        <w:rPr>
          <w:rFonts w:ascii="Times New Roman" w:hAnsi="Times New Roman"/>
          <w:sz w:val="28"/>
        </w:rPr>
        <w:t xml:space="preserve"> пр</w:t>
      </w:r>
      <w:r>
        <w:rPr>
          <w:rFonts w:ascii="Times New Roman" w:hAnsi="Times New Roman"/>
          <w:sz w:val="28"/>
        </w:rPr>
        <w:t xml:space="preserve">ививок,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а также по эпидемическим показаниям.</w:t>
      </w:r>
    </w:p>
    <w:p w14:paraId="30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</w:t>
      </w:r>
      <w:r>
        <w:rPr>
          <w:rFonts w:ascii="Times New Roman" w:hAnsi="Times New Roman"/>
          <w:color w:val="000000"/>
          <w:sz w:val="28"/>
        </w:rPr>
        <w:t>2. Повышение рождаемости:</w:t>
      </w:r>
    </w:p>
    <w:p w14:paraId="31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системы подготовки родителей к деторождению;</w:t>
      </w:r>
    </w:p>
    <w:p w14:paraId="32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организация </w:t>
      </w:r>
      <w:r>
        <w:rPr>
          <w:rFonts w:ascii="Times New Roman" w:hAnsi="Times New Roman"/>
          <w:sz w:val="28"/>
        </w:rPr>
        <w:t>проведения диспансеризации репродуктивного здоровья лиц репродуктивного возраста</w:t>
      </w:r>
      <w:r>
        <w:rPr>
          <w:rFonts w:ascii="Times New Roman" w:hAnsi="Times New Roman"/>
          <w:sz w:val="28"/>
        </w:rPr>
        <w:t>.</w:t>
      </w:r>
    </w:p>
    <w:p w14:paraId="33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3. Увеличение д</w:t>
      </w:r>
      <w:r>
        <w:rPr>
          <w:rFonts w:ascii="Times New Roman" w:hAnsi="Times New Roman"/>
          <w:color w:val="000000"/>
          <w:sz w:val="28"/>
        </w:rPr>
        <w:t>оступности, качества и безопасности медицинской помощи:</w:t>
      </w:r>
    </w:p>
    <w:p w14:paraId="3403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увеличение доли населения, которой доступна медико-санитарная помощь путем расширения сети фельдшерско-акушерских пунктов, фельдшерских здравпунктов и мобильных медицинских бригад в сельских районах;</w:t>
      </w:r>
    </w:p>
    <w:p w14:paraId="3503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</w:t>
      </w:r>
      <w:r>
        <w:rPr>
          <w:rFonts w:ascii="Times New Roman" w:hAnsi="Times New Roman"/>
          <w:color w:val="000000"/>
          <w:sz w:val="28"/>
        </w:rPr>
        <w:t>вершенствование службы родовспоможения путем дальнейшего развития трехуровневой системы оказания медицинской помощи;</w:t>
      </w:r>
    </w:p>
    <w:p w14:paraId="3603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4. Увеличение удовлетворенности населения медицинской помощью:</w:t>
      </w:r>
    </w:p>
    <w:p w14:paraId="3703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увеличение числа выездных медицинских бригад для обслуживания удаленных населенных пунктов;</w:t>
      </w:r>
    </w:p>
    <w:p w14:paraId="3803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внедрение технологий бережливого производства в государственные медицинские ор</w:t>
      </w:r>
      <w:r>
        <w:rPr>
          <w:rFonts w:ascii="Times New Roman" w:hAnsi="Times New Roman"/>
          <w:color w:val="000000"/>
          <w:sz w:val="28"/>
        </w:rPr>
        <w:t>ганизации;</w:t>
      </w:r>
    </w:p>
    <w:p w14:paraId="3903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оснащение и переоснащение медицинских организаций, оказывающих первичную медико-санитарную помощь, современным оборудованием.</w:t>
      </w:r>
    </w:p>
    <w:p w14:paraId="3A03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5. Обеспечение квалифицированными кадрами медицинских организаций, участвующих в реализации программы </w:t>
      </w:r>
      <w:r>
        <w:rPr>
          <w:rFonts w:ascii="Times New Roman" w:hAnsi="Times New Roman"/>
          <w:color w:val="000000"/>
          <w:sz w:val="28"/>
        </w:rPr>
        <w:t>государственных гарантий бесплатного оказания гражданам медицинской помощи:</w:t>
      </w:r>
    </w:p>
    <w:p w14:paraId="3B03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подготовка врачей в рамках целевого приема по программам специалитета и ординатуры;</w:t>
      </w:r>
    </w:p>
    <w:p w14:paraId="3C03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бюджетных субсидий при приобретении (строительстве) жилья за счет средств областного бю</w:t>
      </w:r>
      <w:r>
        <w:rPr>
          <w:rFonts w:ascii="Times New Roman" w:hAnsi="Times New Roman"/>
          <w:color w:val="000000"/>
          <w:sz w:val="28"/>
        </w:rPr>
        <w:t xml:space="preserve">джета молодым специалистам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работникам здравоохранения дефицитных профессий;</w:t>
      </w:r>
    </w:p>
    <w:p w14:paraId="3D03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предоставление бюджетных субсидии для компенсации расходов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по оплате части процентных ставок по жилищным кредитам медицинским </w:t>
      </w:r>
      <w:r>
        <w:rPr>
          <w:rFonts w:ascii="Times New Roman" w:hAnsi="Times New Roman"/>
          <w:color w:val="000000"/>
          <w:sz w:val="28"/>
        </w:rPr>
        <w:t>работникам, имеющим диплом о высшем и среднем професси</w:t>
      </w:r>
      <w:r>
        <w:rPr>
          <w:rFonts w:ascii="Times New Roman" w:hAnsi="Times New Roman"/>
          <w:color w:val="000000"/>
          <w:sz w:val="28"/>
        </w:rPr>
        <w:t>ональном образовании с отличием в рамках реализации пилотного про</w:t>
      </w:r>
      <w:r>
        <w:rPr>
          <w:rFonts w:ascii="Times New Roman" w:hAnsi="Times New Roman"/>
          <w:color w:val="000000"/>
          <w:sz w:val="28"/>
        </w:rPr>
        <w:t xml:space="preserve">екта «Ипотека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для выпускников-отличников под 1 процент годовых»;</w:t>
      </w:r>
    </w:p>
    <w:p w14:paraId="3E03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из средств областного бюджета ежемесячных стимулирующих выплат врачам и средним медицинским работникам выездных б</w:t>
      </w:r>
      <w:r>
        <w:rPr>
          <w:rFonts w:ascii="Times New Roman" w:hAnsi="Times New Roman"/>
          <w:color w:val="000000"/>
          <w:sz w:val="28"/>
        </w:rPr>
        <w:t xml:space="preserve">ригад скорой медицинской, работающим в центральных городских больницах и больницах скорой </w:t>
      </w:r>
      <w:r>
        <w:rPr>
          <w:rFonts w:ascii="Times New Roman" w:hAnsi="Times New Roman"/>
          <w:color w:val="000000"/>
          <w:sz w:val="28"/>
        </w:rPr>
        <w:t>медицин</w:t>
      </w:r>
      <w:r>
        <w:rPr>
          <w:rFonts w:ascii="Times New Roman" w:hAnsi="Times New Roman"/>
          <w:color w:val="000000"/>
          <w:sz w:val="28"/>
        </w:rPr>
        <w:t>ской помощи, в размере 50 тыс. рублей и 30 тыс. рублей соответственно.</w:t>
      </w:r>
    </w:p>
    <w:p w14:paraId="3F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6. Расширение вовлеченности населения в профилактику заболеваний и поддержание здор</w:t>
      </w:r>
      <w:r>
        <w:rPr>
          <w:rFonts w:ascii="Times New Roman" w:hAnsi="Times New Roman"/>
          <w:color w:val="000000"/>
          <w:sz w:val="28"/>
        </w:rPr>
        <w:t>ового образа жизни через развитие превентивной и корпоративной медицины, диспансеризацию, профилактические программы и информационное просвещение:</w:t>
      </w:r>
    </w:p>
    <w:p w14:paraId="40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совершенствование системы раннего выявления заболеваний и факторов риска взрослого и детского населения через </w:t>
      </w:r>
      <w:r>
        <w:rPr>
          <w:rFonts w:ascii="Times New Roman" w:hAnsi="Times New Roman"/>
          <w:color w:val="000000"/>
          <w:sz w:val="28"/>
        </w:rPr>
        <w:t xml:space="preserve">профилактические медицинские осмотры и диспансеризацию; </w:t>
      </w:r>
    </w:p>
    <w:p w14:paraId="41030000">
      <w:pPr>
        <w:widowControl w:val="0"/>
        <w:tabs>
          <w:tab w:leader="none" w:pos="993" w:val="left"/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формирование приверженности населения к здоровому образу жизни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профилактическим мероприятиям, в том числе через пропаганду ЗОЖ;</w:t>
      </w:r>
    </w:p>
    <w:p w14:paraId="42030000">
      <w:pPr>
        <w:widowControl w:val="0"/>
        <w:tabs>
          <w:tab w:leader="none" w:pos="993" w:val="left"/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внедрение механизмов межведомственного взаимодействия с целью сохранения здоровья населения, по</w:t>
      </w:r>
      <w:r>
        <w:rPr>
          <w:rFonts w:ascii="Times New Roman" w:hAnsi="Times New Roman"/>
          <w:color w:val="000000"/>
          <w:sz w:val="28"/>
        </w:rPr>
        <w:t xml:space="preserve">вышения его трудоспособности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ожидаемой продолжительности здоровой жизни. </w:t>
      </w:r>
    </w:p>
    <w:p w14:paraId="43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7. Развитие медицинск</w:t>
      </w:r>
      <w:r>
        <w:rPr>
          <w:rFonts w:ascii="Times New Roman" w:hAnsi="Times New Roman"/>
          <w:color w:val="000000"/>
          <w:sz w:val="28"/>
        </w:rPr>
        <w:t xml:space="preserve">ой реабилитации и санаторно-курортного лечения, в том числе детей и участников СВО: </w:t>
      </w:r>
    </w:p>
    <w:p w14:paraId="44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повышение информированности населения о доступных реабилитационных программах.</w:t>
      </w:r>
    </w:p>
    <w:p w14:paraId="4503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8. Оптимизация административно-хозяйственной деятельности медицинских учреждений: </w:t>
      </w:r>
    </w:p>
    <w:p w14:paraId="4603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повышение квалификации управленческого персонала;</w:t>
      </w:r>
    </w:p>
    <w:p w14:paraId="4703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повышение качества взаи</w:t>
      </w:r>
      <w:r>
        <w:rPr>
          <w:rFonts w:ascii="Times New Roman" w:hAnsi="Times New Roman"/>
          <w:color w:val="000000"/>
          <w:sz w:val="28"/>
        </w:rPr>
        <w:t>модействия с пациентами и улучшение организации медицинских услуг.</w:t>
      </w:r>
    </w:p>
    <w:p w14:paraId="48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49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Проведение информационных к</w:t>
      </w:r>
      <w:r>
        <w:rPr>
          <w:rFonts w:ascii="Times New Roman" w:hAnsi="Times New Roman"/>
          <w:color w:val="000000"/>
          <w:sz w:val="28"/>
        </w:rPr>
        <w:t xml:space="preserve">ампаний, направленных на повышение приверженности граждан к прохождению профилактических осмотров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диспансеризации.</w:t>
      </w:r>
    </w:p>
    <w:p w14:paraId="4A030000">
      <w:pPr>
        <w:widowControl w:val="0"/>
        <w:tabs>
          <w:tab w:leader="none" w:pos="426" w:val="left"/>
          <w:tab w:leader="none" w:pos="1276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Обеспечение оптимальной доступности первичной медико-санитарной помощи для граждан (включая проживающих в труднодоступных местностях), и</w:t>
      </w:r>
      <w:r>
        <w:rPr>
          <w:rFonts w:ascii="Times New Roman" w:hAnsi="Times New Roman"/>
          <w:color w:val="000000"/>
          <w:sz w:val="28"/>
        </w:rPr>
        <w:t>спользуя возможности фельдшерско-акушерских пунктов и фельдшерских здравпунктов при проведении профилактических мероприятий.</w:t>
      </w:r>
    </w:p>
    <w:p w14:paraId="4B030000">
      <w:pPr>
        <w:widowControl w:val="0"/>
        <w:tabs>
          <w:tab w:leader="none" w:pos="426" w:val="left"/>
          <w:tab w:leader="none" w:pos="1276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 Эффективное использование «тяжелого» диагностического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терапевтич</w:t>
      </w:r>
      <w:r>
        <w:rPr>
          <w:rFonts w:ascii="Times New Roman" w:hAnsi="Times New Roman"/>
          <w:color w:val="000000"/>
          <w:sz w:val="28"/>
        </w:rPr>
        <w:t>еского оборудования.</w:t>
      </w:r>
    </w:p>
    <w:p w14:paraId="4C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 Организация активного использования телемедицинских технологий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трудных диагностических случаях и конфликтных ситуациях с ведущими профильными государственными медицинскими организациями или иными государственными медицинскими орга</w:t>
      </w:r>
      <w:r>
        <w:rPr>
          <w:rFonts w:ascii="Times New Roman" w:hAnsi="Times New Roman"/>
          <w:color w:val="000000"/>
          <w:sz w:val="28"/>
        </w:rPr>
        <w:t>низациями третьего уровня.</w:t>
      </w:r>
    </w:p>
    <w:p w14:paraId="4D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 Бер</w:t>
      </w:r>
      <w:r>
        <w:rPr>
          <w:rFonts w:ascii="Times New Roman" w:hAnsi="Times New Roman"/>
          <w:color w:val="000000"/>
          <w:sz w:val="28"/>
        </w:rPr>
        <w:t>ежливая поликлиника и Бережливый стационар.</w:t>
      </w:r>
    </w:p>
    <w:p w14:paraId="4E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 Субсидии на жилье для молодых специалистов и врачей дефицитных специальностей.</w:t>
      </w:r>
    </w:p>
    <w:p w14:paraId="4F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 Заключение договоров о целевом </w:t>
      </w:r>
      <w:r>
        <w:rPr>
          <w:rFonts w:ascii="Times New Roman" w:hAnsi="Times New Roman"/>
          <w:color w:val="000000"/>
          <w:sz w:val="28"/>
        </w:rPr>
        <w:t xml:space="preserve">обучении со студентами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ординаторами высших медицинских учебных заведений, зачисленных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рамках целевых квот.</w:t>
      </w:r>
    </w:p>
    <w:p w14:paraId="50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8. Предоставление </w:t>
      </w:r>
      <w:r>
        <w:rPr>
          <w:rFonts w:ascii="Times New Roman" w:hAnsi="Times New Roman"/>
          <w:color w:val="000000"/>
          <w:sz w:val="28"/>
        </w:rPr>
        <w:t>единовременных компенсационных выплат медицинским работникам в рамках программы «Земский доктор» и «Земский фельдшер».</w:t>
      </w:r>
    </w:p>
    <w:p w14:paraId="51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 Электронная запись, электронная карта.</w:t>
      </w:r>
    </w:p>
    <w:p w14:paraId="52030000">
      <w:pPr>
        <w:pStyle w:val="Style_8"/>
      </w:pPr>
    </w:p>
    <w:p w14:paraId="53030000">
      <w:bookmarkStart w:id="25" w:name="__RefHeading___25"/>
      <w:bookmarkEnd w:id="25"/>
      <w:pPr>
        <w:pStyle w:val="Style_8"/>
      </w:pPr>
      <w:r>
        <w:t>4.1.3. Спорт</w:t>
      </w:r>
    </w:p>
    <w:p w14:paraId="54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обеспечение жителям Обливского района широких возможностей для занятий физической культурой, массовым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традиционными видами спорта, а также создание условий и развитие мотивации для самореализации в спорте </w:t>
      </w:r>
      <w:r>
        <w:rPr>
          <w:rFonts w:ascii="Times New Roman" w:hAnsi="Times New Roman"/>
          <w:color w:val="000000"/>
          <w:sz w:val="28"/>
        </w:rPr>
        <w:t>профессионального уровня, успешных выступлений на всероссийских и международных соревнованиях.</w:t>
      </w:r>
    </w:p>
    <w:p w14:paraId="55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56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Недостаточный охват лиц старшего и среднего возрастов систематическими занятиями физической культурой и спортом.</w:t>
      </w:r>
    </w:p>
    <w:p w14:paraId="57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Недостаточный уровен</w:t>
      </w:r>
      <w:r>
        <w:rPr>
          <w:rFonts w:ascii="Times New Roman" w:hAnsi="Times New Roman"/>
          <w:color w:val="000000"/>
          <w:sz w:val="28"/>
        </w:rPr>
        <w:t xml:space="preserve">ь охвата жителей Обливского района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на отборочных этапах физкультурных мероприятий.</w:t>
      </w:r>
    </w:p>
    <w:p w14:paraId="58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 Недостаточные условия для занятий физической культурой и спортом лицами с ограниченными возможностями здоровья и инвалидами.</w:t>
      </w:r>
    </w:p>
    <w:p w14:paraId="59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Дефицит кадров в отрасли.</w:t>
      </w:r>
    </w:p>
    <w:p w14:paraId="5A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 Недостаточная</w:t>
      </w:r>
      <w:r>
        <w:rPr>
          <w:rFonts w:ascii="Times New Roman" w:hAnsi="Times New Roman"/>
          <w:color w:val="000000"/>
          <w:sz w:val="28"/>
        </w:rPr>
        <w:t xml:space="preserve"> оснащенность учреждений спортивной направленности спортивным оборудованием и инвентарем.</w:t>
      </w:r>
    </w:p>
    <w:p w14:paraId="5B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 Несовершенство системы отбора спортивно одаренных детей.</w:t>
      </w:r>
    </w:p>
    <w:p w14:paraId="5C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 Недостаток спортивной инфраструктуры в шаговой доступности.</w:t>
      </w:r>
    </w:p>
    <w:p w14:paraId="5D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8. Недостаточная информированность населения о местах для занятий физической культурой и спортом, а также о проводимых мероприятиях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на терри</w:t>
      </w:r>
      <w:r>
        <w:rPr>
          <w:rFonts w:ascii="Times New Roman" w:hAnsi="Times New Roman"/>
          <w:color w:val="000000"/>
          <w:sz w:val="28"/>
        </w:rPr>
        <w:t>тории региона.</w:t>
      </w:r>
    </w:p>
    <w:p w14:paraId="5E03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В. Ключевые показатели эффективности представлены в приложении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№ 8.</w:t>
      </w:r>
    </w:p>
    <w:p w14:paraId="5F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60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1. Привлечение максимального количества лиц старшего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среднего возрастов в систематические занятия физической культурой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спортом:</w:t>
      </w:r>
    </w:p>
    <w:p w14:paraId="61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развитие </w:t>
      </w:r>
      <w:r>
        <w:rPr>
          <w:rFonts w:ascii="Times New Roman" w:hAnsi="Times New Roman"/>
          <w:color w:val="000000"/>
          <w:sz w:val="28"/>
        </w:rPr>
        <w:t>корпоративного спорта в организациях Обливского района;</w:t>
      </w:r>
    </w:p>
    <w:p w14:paraId="62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физкультурных и спортивных мероприятий для лиц старшего и среднего возрастов;</w:t>
      </w:r>
    </w:p>
    <w:p w14:paraId="63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расширение доступности спортивной инфраструктуры для всех категорий гражда</w:t>
      </w:r>
      <w:r>
        <w:rPr>
          <w:rFonts w:ascii="Times New Roman" w:hAnsi="Times New Roman"/>
          <w:color w:val="000000"/>
          <w:sz w:val="28"/>
        </w:rPr>
        <w:t>н.</w:t>
      </w:r>
    </w:p>
    <w:p w14:paraId="64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2. Развитие массового спорта </w:t>
      </w:r>
      <w:r>
        <w:rPr>
          <w:rFonts w:ascii="Times New Roman" w:hAnsi="Times New Roman"/>
          <w:color w:val="000000"/>
          <w:sz w:val="28"/>
        </w:rPr>
        <w:t>и расширение аудитории массовых физкультурно-спортивных мероприятий:</w:t>
      </w:r>
    </w:p>
    <w:p w14:paraId="65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увеличение количества участников областных соревнований, комплексных спартакиад для всех возрастных и социальных категорий населения Обливского района;</w:t>
      </w:r>
    </w:p>
    <w:p w14:paraId="66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вовлечение большего числа населения Обливского района в выполнение нормативов Всероссийского физкультурно-спортивного комплекса «Готов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к труду и обороне». </w:t>
      </w:r>
    </w:p>
    <w:p w14:paraId="67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3. Создание условий для занятий физической культурой и спортом среди лиц с ограниченными возм</w:t>
      </w:r>
      <w:r>
        <w:rPr>
          <w:rFonts w:ascii="Times New Roman" w:hAnsi="Times New Roman"/>
          <w:color w:val="000000"/>
          <w:sz w:val="28"/>
        </w:rPr>
        <w:t>ожностями здоровья и инвалидов:</w:t>
      </w:r>
    </w:p>
    <w:p w14:paraId="68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спортивной инфраструктуры для занятий адаптивной физической культурой и спортом;</w:t>
      </w:r>
    </w:p>
    <w:p w14:paraId="69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районных соревнований, многоэтапных комплексных спартакиад, фестивалей Всероссийского физкультурно-спортивного комплекса «Го</w:t>
      </w:r>
      <w:r>
        <w:rPr>
          <w:rFonts w:ascii="Times New Roman" w:hAnsi="Times New Roman"/>
          <w:color w:val="000000"/>
          <w:sz w:val="28"/>
        </w:rPr>
        <w:t>тов к труду и обороне» для лиц с ограниченными возможностями здоровья и инвалидов;</w:t>
      </w:r>
    </w:p>
    <w:p w14:paraId="6A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создание условий в </w:t>
      </w:r>
      <w:r>
        <w:rPr>
          <w:rFonts w:ascii="Times New Roman" w:hAnsi="Times New Roman"/>
          <w:color w:val="000000"/>
          <w:sz w:val="28"/>
        </w:rPr>
        <w:t xml:space="preserve"> муниципальных организациях для занятий а</w:t>
      </w:r>
      <w:r>
        <w:rPr>
          <w:rFonts w:ascii="Times New Roman" w:hAnsi="Times New Roman"/>
          <w:color w:val="000000"/>
          <w:sz w:val="28"/>
        </w:rPr>
        <w:t>даптивной физической культурой и спортом;</w:t>
      </w:r>
    </w:p>
    <w:p w14:paraId="6B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Задача 4. Создание условий, обеспечивающих возможность гражданам систематически заниматься физической культурой и спортом:</w:t>
      </w:r>
    </w:p>
    <w:p w14:paraId="6C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возведение спортивных площадок, физкультурно-оздор</w:t>
      </w:r>
      <w:r>
        <w:rPr>
          <w:rFonts w:ascii="Times New Roman" w:hAnsi="Times New Roman"/>
          <w:color w:val="000000"/>
          <w:sz w:val="28"/>
        </w:rPr>
        <w:t xml:space="preserve">овительных комплексов, физкультурно-оздоровительных комплексов открытого типа; </w:t>
      </w:r>
    </w:p>
    <w:p w14:paraId="6D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капитального ремонта или реконструкция существующих спортивных сооружений;</w:t>
      </w:r>
    </w:p>
    <w:p w14:paraId="6E030000">
      <w:pPr>
        <w:widowControl w:val="0"/>
        <w:tabs>
          <w:tab w:leader="none" w:pos="993" w:val="left"/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создание условий для занятий спортом в шаговой доступно</w:t>
      </w:r>
      <w:r>
        <w:rPr>
          <w:rFonts w:ascii="Times New Roman" w:hAnsi="Times New Roman"/>
          <w:color w:val="000000"/>
          <w:sz w:val="28"/>
        </w:rPr>
        <w:t>сти.</w:t>
      </w:r>
    </w:p>
    <w:p w14:paraId="6F03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5. Повышение информированности населения о возможностях занятий физической культурой и спортом:</w:t>
      </w:r>
    </w:p>
    <w:p w14:paraId="70030000">
      <w:pPr>
        <w:widowControl w:val="0"/>
        <w:tabs>
          <w:tab w:leader="none" w:pos="993" w:val="left"/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улучшение качества создаваемого спортивного контента и его активная интеграция в информационное поле с целью популяризации занятий физической культуро</w:t>
      </w:r>
      <w:r>
        <w:rPr>
          <w:rFonts w:ascii="Times New Roman" w:hAnsi="Times New Roman"/>
          <w:color w:val="000000"/>
          <w:sz w:val="28"/>
        </w:rPr>
        <w:t>й и спортом;</w:t>
      </w:r>
    </w:p>
    <w:p w14:paraId="71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информирование граждан о наличии и доступности спортивной инфраструктуры, создании дополнительных условий для з</w:t>
      </w:r>
      <w:r>
        <w:rPr>
          <w:rFonts w:ascii="Times New Roman" w:hAnsi="Times New Roman"/>
          <w:color w:val="000000"/>
          <w:sz w:val="28"/>
        </w:rPr>
        <w:t>анятий физической культурой и спортом и проводимых мероприятиях в районе.</w:t>
      </w:r>
    </w:p>
    <w:p w14:paraId="72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6. Развитие игровых видов спорта:</w:t>
      </w:r>
    </w:p>
    <w:p w14:paraId="73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увеличение количества граждан, систематически занимающихся игровыми видами спорта; </w:t>
      </w:r>
    </w:p>
    <w:p w14:paraId="7403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формирование устойчивой информационной среды вокруг достижений команд района и спортивных событий. </w:t>
      </w:r>
    </w:p>
    <w:p w14:paraId="75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76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Организация и проведение спортивных мероприятий.</w:t>
      </w:r>
    </w:p>
    <w:p w14:paraId="7703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 Организация и проведение муниципальных фестивалей Всероссийского </w:t>
      </w:r>
      <w:r>
        <w:rPr>
          <w:rFonts w:ascii="Times New Roman" w:hAnsi="Times New Roman"/>
          <w:color w:val="000000"/>
          <w:sz w:val="28"/>
        </w:rPr>
        <w:t>физкультурно-спортивного комплекса «Готов к труду и обороне».</w:t>
      </w:r>
    </w:p>
    <w:p w14:paraId="7803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Приобретение спортивного инвентаря, наградных атрибутов, технических средств, экипировки.</w:t>
      </w:r>
    </w:p>
    <w:p w14:paraId="7903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themeColor="dark1"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 </w:t>
      </w:r>
      <w:r>
        <w:rPr>
          <w:rFonts w:ascii="Times New Roman" w:hAnsi="Times New Roman"/>
          <w:color w:themeColor="dark1" w:val="000000"/>
          <w:sz w:val="28"/>
        </w:rPr>
        <w:t>Приобретение детского игрового оборудования, спортивного оборудования, малых архитектурных форм для последующей установки, а также на приобретение материалов резинового покрытия для дальнейшей укладки на детских площадках в поселениях Обливского района.</w:t>
      </w:r>
    </w:p>
    <w:p w14:paraId="7A03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 Обустройство пешеходной зоны к стадиону в станице Обливская. </w:t>
      </w:r>
    </w:p>
    <w:p w14:paraId="7B03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7C030000">
      <w:bookmarkStart w:id="26" w:name="__RefHeading___26"/>
      <w:bookmarkEnd w:id="26"/>
      <w:pPr>
        <w:pStyle w:val="Style_6"/>
        <w:spacing w:after="0" w:line="240" w:lineRule="auto"/>
        <w:ind/>
      </w:pPr>
      <w:r>
        <w:t xml:space="preserve">4.2. Реализация </w:t>
      </w:r>
    </w:p>
    <w:p w14:paraId="7D030000">
      <w:bookmarkStart w:id="27" w:name="__RefHeading___27"/>
      <w:bookmarkEnd w:id="27"/>
      <w:pPr>
        <w:pStyle w:val="Style_6"/>
        <w:spacing w:after="0" w:line="240" w:lineRule="auto"/>
        <w:ind/>
      </w:pPr>
      <w:r>
        <w:t xml:space="preserve">потенциала каждого человека, </w:t>
      </w:r>
    </w:p>
    <w:p w14:paraId="7E030000">
      <w:bookmarkStart w:id="28" w:name="__RefHeading___28"/>
      <w:bookmarkEnd w:id="28"/>
      <w:pPr>
        <w:pStyle w:val="Style_6"/>
        <w:spacing w:after="0" w:line="240" w:lineRule="auto"/>
        <w:ind/>
      </w:pPr>
      <w:r>
        <w:t xml:space="preserve">развитие его талантов, воспитание патриотичной </w:t>
      </w:r>
    </w:p>
    <w:p w14:paraId="7F030000">
      <w:bookmarkStart w:id="29" w:name="__RefHeading___29"/>
      <w:bookmarkEnd w:id="29"/>
      <w:pPr>
        <w:pStyle w:val="Style_6"/>
        <w:spacing w:after="0" w:line="240" w:lineRule="auto"/>
        <w:ind/>
      </w:pPr>
      <w:r>
        <w:t xml:space="preserve">и социально ответственной </w:t>
      </w:r>
      <w:r>
        <w:t>личности в Обливском районе</w:t>
      </w:r>
    </w:p>
    <w:p w14:paraId="80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81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реализации национальной цели:</w:t>
      </w:r>
    </w:p>
    <w:p w14:paraId="82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показателей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2024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</w:tr>
    </w:tbl>
    <w:p w14:paraId="88030000">
      <w:pPr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3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3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Доля обучающихся 6-11 классов, охваченных комплексом профориентационных мероприятий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в рамках Единой модели профориентации (процентов)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3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43,0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103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46,0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3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58,0</w:t>
            </w:r>
          </w:p>
        </w:tc>
      </w:tr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Уровень удовлетворенности граждан работой государственных и муниципальных организаций культуры, искусства </w:t>
            </w:r>
          </w:p>
          <w:p w14:paraId="95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 народного творчества (процентов)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57,5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73,5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3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85,3</w:t>
            </w:r>
          </w:p>
        </w:tc>
      </w:tr>
    </w:tbl>
    <w:p w14:paraId="99030000">
      <w:bookmarkStart w:id="30" w:name="__RefHeading___30"/>
      <w:bookmarkEnd w:id="30"/>
      <w:pPr>
        <w:pStyle w:val="Style_8"/>
      </w:pPr>
      <w:r>
        <w:t xml:space="preserve">  </w:t>
      </w:r>
      <w:r>
        <w:t>4.2.1. Образование</w:t>
      </w:r>
    </w:p>
    <w:p w14:paraId="9A030000">
      <w:pPr>
        <w:widowControl w:val="0"/>
        <w:tabs>
          <w:tab w:leader="none" w:pos="3402" w:val="left"/>
        </w:tabs>
        <w:spacing w:after="0" w:before="0" w:line="228" w:lineRule="auto"/>
        <w:ind w:firstLine="709" w:left="0"/>
        <w:jc w:val="both"/>
        <w:outlineLvl w:val="1"/>
        <w:rPr>
          <w:rFonts w:ascii="Times New Roman" w:hAnsi="Times New Roman"/>
          <w:color w:val="CF543F"/>
          <w:sz w:val="28"/>
        </w:rPr>
      </w:pPr>
    </w:p>
    <w:p w14:paraId="9B03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обеспечение доступности </w:t>
      </w:r>
      <w:r>
        <w:rPr>
          <w:rFonts w:ascii="Times New Roman" w:hAnsi="Times New Roman"/>
          <w:color w:val="000000"/>
          <w:sz w:val="28"/>
        </w:rPr>
        <w:t xml:space="preserve">качественного образования на всех уровнях для всех категорий граждан, создание условий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для формирования профессиональных компетенций, востребованных региональной экономикой, а также способствование всестороннему развитию личности и </w:t>
      </w:r>
      <w:r>
        <w:rPr>
          <w:rFonts w:ascii="Times New Roman" w:hAnsi="Times New Roman"/>
          <w:color w:val="000000"/>
          <w:sz w:val="28"/>
        </w:rPr>
        <w:t xml:space="preserve">гражданскому воспитанию </w:t>
      </w:r>
      <w:r>
        <w:rPr>
          <w:rFonts w:ascii="Times New Roman" w:hAnsi="Times New Roman"/>
          <w:color w:val="000000"/>
          <w:sz w:val="28"/>
        </w:rPr>
        <w:t>молодежи.</w:t>
      </w:r>
    </w:p>
    <w:p w14:paraId="9C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9D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Наличие второй смены в общеобразовательных организациях.</w:t>
      </w:r>
    </w:p>
    <w:p w14:paraId="9E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</w:t>
      </w:r>
      <w:r>
        <w:rPr>
          <w:rFonts w:ascii="Times New Roman" w:hAnsi="Times New Roman"/>
          <w:color w:val="000000"/>
          <w:sz w:val="28"/>
        </w:rPr>
        <w:t>Ограниченность ресурсов для эффективного использования цифровых технологий в образовательной деятельности.</w:t>
      </w:r>
    </w:p>
    <w:p w14:paraId="9F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 Дефицит квалифицированных кадров, в том числе педагогов инклюзивного образования, педагогов дополнительного образования,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образовательных организ</w:t>
      </w:r>
      <w:r>
        <w:rPr>
          <w:rFonts w:ascii="Times New Roman" w:hAnsi="Times New Roman"/>
          <w:color w:val="000000"/>
          <w:sz w:val="28"/>
        </w:rPr>
        <w:t>ациях.</w:t>
      </w:r>
    </w:p>
    <w:p w14:paraId="A003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В. Ключевые показатели эффективности представлены</w:t>
      </w:r>
      <w:r>
        <w:rPr>
          <w:rFonts w:ascii="Times New Roman" w:hAnsi="Times New Roman"/>
          <w:color w:val="CF543F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приложении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№ 8.</w:t>
      </w:r>
    </w:p>
    <w:p w14:paraId="A1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A2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1. Создание условий для получения качественного общего образования в условиях, отвечающих современным требованиям:</w:t>
      </w:r>
    </w:p>
    <w:p w14:paraId="A3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модернизация и развитие инфраструктуры образовательных организаций за счет проведения капитального ремонта и оснащения оборудованием; </w:t>
      </w:r>
    </w:p>
    <w:p w14:paraId="A4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сети профильных классов в общеобразовательных организациях.</w:t>
      </w:r>
    </w:p>
    <w:p w14:paraId="A5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2. Создание мест в общеобразовательных организациях:</w:t>
      </w:r>
    </w:p>
    <w:p w14:paraId="A6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Ликвидация второй смены за счет</w:t>
      </w:r>
      <w:r>
        <w:rPr>
          <w:rFonts w:ascii="Times New Roman" w:hAnsi="Times New Roman"/>
          <w:sz w:val="28"/>
        </w:rPr>
        <w:t xml:space="preserve"> ремонта и перераспределения кабинетного фонда и изменения графика работы МБОУ «Обливская СОШ №1 имени Героя Советского Союза Синькова С.М», капитального ремонта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здания школы МБОУ «Обливская СОШ №1 имени Героя Советского Союза Синькова С.М.»</w:t>
      </w:r>
      <w:r>
        <w:rPr>
          <w:rFonts w:ascii="Times New Roman" w:hAnsi="Times New Roman"/>
          <w:sz w:val="28"/>
        </w:rPr>
        <w:t>, расположенного по адресу ст-ца Обливская,  ул. Дивиченко, 9</w:t>
      </w:r>
      <w:r>
        <w:rPr>
          <w:rFonts w:ascii="Times New Roman" w:hAnsi="Times New Roman"/>
          <w:sz w:val="28"/>
        </w:rPr>
        <w:t xml:space="preserve">; </w:t>
      </w:r>
    </w:p>
    <w:p w14:paraId="A7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строительство, реконструкция, газификация муниципальных образовательных организаций.</w:t>
      </w:r>
    </w:p>
    <w:p w14:paraId="A8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3. Цифровая трансформация системы образования:</w:t>
      </w:r>
    </w:p>
    <w:p w14:paraId="A9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использования педагогическими работниками цифровых технологий;</w:t>
      </w:r>
    </w:p>
    <w:p w14:paraId="AA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государственных и муниципальных общеобразовательных организаций беспроводными сетями стандарта Wi-Fi для обеспечения возможности доступа к информационно-телекоммуникационной сети «Интернет»; </w:t>
      </w:r>
    </w:p>
    <w:p w14:paraId="AB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равного доступа на безвозмездной основе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к верифицированному цифровому контенту обучающихся, родителей (законных представителей) и педагогических работников; </w:t>
      </w:r>
    </w:p>
    <w:p w14:paraId="AC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квалификации педагогических работников по использованию цифровых инструментов в образовательном процессе.</w:t>
      </w:r>
    </w:p>
    <w:p w14:paraId="AD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4. Обеспечение системы образования квалифицированными педагогическими кадрами</w:t>
      </w:r>
      <w:r>
        <w:rPr>
          <w:rFonts w:ascii="Times New Roman" w:hAnsi="Times New Roman"/>
          <w:sz w:val="28"/>
        </w:rPr>
        <w:t>;</w:t>
      </w:r>
    </w:p>
    <w:p w14:paraId="AE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профориентационной работы и использования целевого обучения;</w:t>
      </w:r>
    </w:p>
    <w:p w14:paraId="AF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квалификации учителей физики, химии и биологии, работающих с использованием оборудования центров «Точка роста»;</w:t>
      </w:r>
    </w:p>
    <w:p w14:paraId="B0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повышение квалификации педагогических работников, работающих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одаренными детьми;</w:t>
      </w:r>
    </w:p>
    <w:p w14:paraId="B1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повышение квалификации педагогических работников, работающих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системе дополнительного образования детей;</w:t>
      </w:r>
    </w:p>
    <w:p w14:paraId="B2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квалификации педагогических работников по реализации инклюзивного образования для детей с ОВЗ в образовательных организациях.</w:t>
      </w:r>
    </w:p>
    <w:p w14:paraId="B3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5. Популяризация рабочих профессий посредством организации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проведения конкурсных мероприятий:</w:t>
      </w:r>
    </w:p>
    <w:p w14:paraId="B4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и проведение конкурсных мероприятий с обучающимися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включая мероприятия по выявлению и поддержке талантливой молодежи;</w:t>
      </w:r>
    </w:p>
    <w:p w14:paraId="B5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профессиональная ориентация в общеобразовательных организациях, включая информирование о возможностях и перспективах различных профессий, с учетом востребованности на региональном рынке труда (проведение профессиональных проб).</w:t>
      </w:r>
    </w:p>
    <w:p w14:paraId="B6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6</w:t>
      </w:r>
      <w:r>
        <w:rPr>
          <w:rFonts w:ascii="Times New Roman" w:hAnsi="Times New Roman"/>
          <w:sz w:val="28"/>
        </w:rPr>
        <w:t xml:space="preserve">. Развитие системы духовно-нравственного, патриотического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гражданского воспитания обучающихся:</w:t>
      </w:r>
    </w:p>
    <w:p w14:paraId="B7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вовлечение большего числа обучающихся в детские общественные объединения;</w:t>
      </w:r>
    </w:p>
    <w:p w14:paraId="B8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обновление информационно-методической базы патриотического воспитания обучающихся; </w:t>
      </w:r>
    </w:p>
    <w:p w14:paraId="B9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единого пространства гражданского и патриотического</w:t>
      </w:r>
      <w:r>
        <w:rPr>
          <w:rFonts w:ascii="Times New Roman" w:hAnsi="Times New Roman"/>
          <w:sz w:val="28"/>
        </w:rPr>
        <w:t xml:space="preserve"> воспитания в Обливском районе</w:t>
      </w:r>
      <w:r>
        <w:rPr>
          <w:rFonts w:ascii="Times New Roman" w:hAnsi="Times New Roman"/>
          <w:sz w:val="28"/>
        </w:rPr>
        <w:t xml:space="preserve">; </w:t>
      </w:r>
    </w:p>
    <w:p w14:paraId="BA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историческое просвещение </w:t>
      </w:r>
      <w:r>
        <w:rPr>
          <w:rFonts w:ascii="Times New Roman" w:hAnsi="Times New Roman"/>
          <w:sz w:val="28"/>
        </w:rPr>
        <w:t>обучающихся в Обливском районе</w:t>
      </w:r>
      <w:r>
        <w:rPr>
          <w:rFonts w:ascii="Times New Roman" w:hAnsi="Times New Roman"/>
          <w:sz w:val="28"/>
        </w:rPr>
        <w:t>, ориентированное на сохранение исторической и социальной памяти;</w:t>
      </w:r>
    </w:p>
    <w:p w14:paraId="BB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усвоение и использование на практике основ гражданского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патриотического образования;</w:t>
      </w:r>
    </w:p>
    <w:p w14:paraId="BC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 обучающихся патриотических чувств и общероссийской гражданской идентичности;</w:t>
      </w:r>
    </w:p>
    <w:p w14:paraId="BD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пропаганда патриотизма и гражданской позиции в средствах массово</w:t>
      </w:r>
      <w:r>
        <w:rPr>
          <w:rFonts w:ascii="Times New Roman" w:hAnsi="Times New Roman"/>
          <w:sz w:val="28"/>
        </w:rPr>
        <w:t>й информации и социальных медиа;</w:t>
      </w:r>
    </w:p>
    <w:p w14:paraId="BE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ресурсов детских общественных организаций «Движение Первых», «Юнармия», «Волонтеры Победы».</w:t>
      </w:r>
    </w:p>
    <w:p w14:paraId="BF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7</w:t>
      </w:r>
      <w:r>
        <w:rPr>
          <w:rFonts w:ascii="Times New Roman" w:hAnsi="Times New Roman"/>
          <w:sz w:val="28"/>
        </w:rPr>
        <w:t xml:space="preserve">. Развитие доступности качественного дополнительного </w:t>
      </w:r>
      <w:r>
        <w:rPr>
          <w:rFonts w:ascii="Times New Roman" w:hAnsi="Times New Roman"/>
          <w:sz w:val="28"/>
        </w:rPr>
        <w:t>образования детей, ориентированного на подготовку кадров по приоритетным для региона профессиям и направлениям:</w:t>
      </w:r>
    </w:p>
    <w:p w14:paraId="C0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актуализация программ дополнительного образования, содержания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методов обучения с учетом приоритетов социально-экономического развития региона;</w:t>
      </w:r>
    </w:p>
    <w:p w14:paraId="C1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дополнительного образования естественно-научной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технической направленностей;</w:t>
      </w:r>
    </w:p>
    <w:p w14:paraId="C2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популяризация науки и технологий через дополнительные образовательные программы и мероприятия;</w:t>
      </w:r>
    </w:p>
    <w:p w14:paraId="C3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механизмов участия работодателей и профессиональных сообществ в формировании программ дополнительного образования детей;</w:t>
      </w:r>
    </w:p>
    <w:p w14:paraId="C4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поддержка профессионального роста и самореализации управленческих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педагогических кадров, работающих в системе дополнительного образования детей.</w:t>
      </w:r>
    </w:p>
    <w:p w14:paraId="C5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8</w:t>
      </w:r>
      <w:r>
        <w:rPr>
          <w:rFonts w:ascii="Times New Roman" w:hAnsi="Times New Roman"/>
          <w:sz w:val="28"/>
        </w:rPr>
        <w:t>. Развитие системы выявления, сопровождения и поддержки талантливых и одаренных детей и молодежи:</w:t>
      </w:r>
    </w:p>
    <w:p w14:paraId="C6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организация и проведение мероприятий по выявлению одаренных детей и талантливой молодежи;</w:t>
      </w:r>
    </w:p>
    <w:p w14:paraId="C7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сопровождения одаренных детей и талантливой молодежи;</w:t>
      </w:r>
    </w:p>
    <w:p w14:paraId="C8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стимулирование и поддержка одаренных детей и талантливой молодежи;</w:t>
      </w:r>
    </w:p>
    <w:p w14:paraId="C9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муниципального</w:t>
      </w:r>
      <w:r>
        <w:rPr>
          <w:rFonts w:ascii="Times New Roman" w:hAnsi="Times New Roman"/>
          <w:sz w:val="28"/>
        </w:rPr>
        <w:t xml:space="preserve"> сообщества талантов;</w:t>
      </w:r>
    </w:p>
    <w:p w14:paraId="CA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функционирования центров образования естественно-научной и технологической направленностей «Точка роста»; </w:t>
      </w:r>
    </w:p>
    <w:p w14:paraId="CB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форм работы с одаренными детьми (программы углубленного изучения общеобразовательных предметов, специализированные кружки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секции, </w:t>
      </w:r>
      <w:r>
        <w:rPr>
          <w:rFonts w:ascii="Times New Roman" w:hAnsi="Times New Roman"/>
          <w:sz w:val="28"/>
        </w:rPr>
        <w:t xml:space="preserve"> олимпиады, конкурсы и конференции).</w:t>
      </w:r>
    </w:p>
    <w:p w14:paraId="CC03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CD03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Развитие сети профи</w:t>
      </w:r>
      <w:r>
        <w:rPr>
          <w:rFonts w:ascii="Times New Roman" w:hAnsi="Times New Roman"/>
          <w:sz w:val="28"/>
        </w:rPr>
        <w:t xml:space="preserve">льных классов </w:t>
      </w:r>
      <w:r>
        <w:rPr>
          <w:rFonts w:ascii="Times New Roman" w:hAnsi="Times New Roman"/>
          <w:sz w:val="28"/>
        </w:rPr>
        <w:t xml:space="preserve">в соответствии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с федеральными государственными образовательными стандартами среднего общего образования (включая технологический и естественно-научный профили).</w:t>
      </w:r>
    </w:p>
    <w:p w14:paraId="CE03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 Ра</w:t>
      </w:r>
      <w:r>
        <w:rPr>
          <w:rFonts w:ascii="Times New Roman" w:hAnsi="Times New Roman"/>
          <w:sz w:val="28"/>
        </w:rPr>
        <w:t xml:space="preserve">звитие муниципального опорного </w:t>
      </w:r>
      <w:r>
        <w:rPr>
          <w:rFonts w:ascii="Times New Roman" w:hAnsi="Times New Roman"/>
          <w:sz w:val="28"/>
        </w:rPr>
        <w:t>центра дополнительного образования детей, обеспечивающего взаимодействие в сфере дополнительного образования детей по реализации современных, вариативных и востребованных дополнительных общеобразовательных программ различной направленности.</w:t>
      </w:r>
    </w:p>
    <w:p w14:paraId="CF03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 Обеспечение участия обучающихся по программам общего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и дополнительного образования в олимпиадах и конкурсах различного уровня.</w:t>
      </w:r>
    </w:p>
    <w:p w14:paraId="D003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 Увеличение доли обучающихся по программам общ</w:t>
      </w:r>
      <w:r>
        <w:rPr>
          <w:rFonts w:ascii="Times New Roman" w:hAnsi="Times New Roman"/>
          <w:sz w:val="28"/>
        </w:rPr>
        <w:t>его</w:t>
      </w:r>
      <w:r>
        <w:rPr>
          <w:rFonts w:ascii="Times New Roman" w:hAnsi="Times New Roman"/>
          <w:sz w:val="28"/>
        </w:rPr>
        <w:t xml:space="preserve"> образования, обладающих базовыми навыками программирования.</w:t>
      </w:r>
    </w:p>
    <w:p w14:paraId="D103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 Увеличение доли детей в возрасте от 5 до 18 лет, охваченных дополнительным образованием.</w:t>
      </w:r>
    </w:p>
    <w:p w14:paraId="D2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 Создание в дошкольных образовательных учреждениях дополнительных мест </w:t>
      </w:r>
      <w:r>
        <w:rPr>
          <w:rFonts w:ascii="Times New Roman" w:hAnsi="Times New Roman"/>
          <w:sz w:val="28"/>
        </w:rPr>
        <w:t>для детей</w:t>
      </w:r>
      <w:r>
        <w:rPr>
          <w:rFonts w:ascii="Times New Roman" w:hAnsi="Times New Roman"/>
          <w:sz w:val="28"/>
        </w:rPr>
        <w:t xml:space="preserve"> в возрасте до 3 лет.</w:t>
      </w:r>
    </w:p>
    <w:p w14:paraId="D3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 xml:space="preserve">. Развитие детского отдыха, в том числе для детей с ОВЗ. </w:t>
      </w:r>
    </w:p>
    <w:p w14:paraId="D4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 Создание современных условий обучения за счет капитального ремонта и оснащения оборудованием образовательных организаций.</w:t>
      </w:r>
    </w:p>
    <w:p w14:paraId="D5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16.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Ликвидация второй смены за счет ремонта и перераспределения кабинетного фонда и изменения графика работы МБОУ «Обливская СОШ №1 имени Героя Советского Союза Синькова С.М», капитального ремонта здания школы МБОУ «Обливская СОШ №1 имени Героя Советского Союза Синькова С.М.», расположенного по адресу ст-ца Обливская,  ул. Дивиченко, 9;</w:t>
      </w:r>
    </w:p>
    <w:p w14:paraId="D6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17</w:t>
      </w:r>
      <w:r>
        <w:rPr>
          <w:rFonts w:ascii="Times New Roman" w:hAnsi="Times New Roman"/>
          <w:sz w:val="28"/>
        </w:rPr>
        <w:t>. Повышение качества математического и естественно-научного образования.</w:t>
      </w:r>
    </w:p>
    <w:p w14:paraId="D7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18.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30303"/>
          <w:spacing w:val="0"/>
          <w:sz w:val="28"/>
          <w:highlight w:val="white"/>
        </w:rPr>
        <w:t>Ежегодная подготовка УДО ООЦ «Орленок» к летнему сезону,  мероприятия по текущему ремонту корпусов для размещения детей, пищеблока, медблока,  работы по покосу травы и уборке территории лагеря, обрезка и опиловка деревьев, обновление  мягкого инвентаря, инвентаря пищеблока, спортивного инвентаря, игр и игрушек.</w:t>
      </w:r>
    </w:p>
    <w:p w14:paraId="D8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19.Организация секций и кружков по робототехнике на базе «Точек роста».</w:t>
      </w:r>
    </w:p>
    <w:p w14:paraId="D9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20. Д</w:t>
      </w:r>
      <w:r>
        <w:rPr>
          <w:rFonts w:ascii="Times New Roman" w:hAnsi="Times New Roman"/>
          <w:sz w:val="28"/>
        </w:rPr>
        <w:t>оведение средней заработной платы педологических работников</w:t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образовательных учреждений</w:t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 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>до средней заработной платы в сфере  образования в Ростовской области.</w:t>
      </w:r>
    </w:p>
    <w:p w14:paraId="DA030000">
      <w:bookmarkStart w:id="31" w:name="__RefHeading___31"/>
      <w:bookmarkEnd w:id="31"/>
      <w:pPr>
        <w:pStyle w:val="Style_8"/>
      </w:pPr>
      <w:r>
        <w:t xml:space="preserve">4.2.2. </w:t>
      </w:r>
      <w:r>
        <w:t>Культура</w:t>
      </w:r>
    </w:p>
    <w:p w14:paraId="DB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/>
          <w:sz w:val="28"/>
        </w:rPr>
        <w:t xml:space="preserve">А. Стратегическая цель – создание условий для сохранения, развития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популяризации материального и нематериального культурного наследия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, повышения доступности культурных ресурсов для всех групп населения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</w:p>
    <w:p w14:paraId="DC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Б. Ключевые проблемы:</w:t>
      </w:r>
    </w:p>
    <w:p w14:paraId="DD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Высокий уровень износа объектов в отрасли культуры.</w:t>
      </w:r>
    </w:p>
    <w:p w14:paraId="DE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Неудовлетворительное состояние материально-технической базы учреждений культуры, </w:t>
      </w:r>
      <w:r>
        <w:rPr>
          <w:rFonts w:ascii="Times New Roman" w:hAnsi="Times New Roman"/>
          <w:sz w:val="28"/>
        </w:rPr>
        <w:t>расположенных на территории сельских поселений</w:t>
      </w:r>
      <w:r>
        <w:rPr>
          <w:rFonts w:ascii="Times New Roman" w:hAnsi="Times New Roman"/>
          <w:sz w:val="28"/>
        </w:rPr>
        <w:t>.</w:t>
      </w:r>
    </w:p>
    <w:p w14:paraId="DF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Нехватка квалифицированных кадров для обеспечения полноценного функционирования учреждений культуры и предоставления повышенного качества обслуживания посетителей.</w:t>
      </w:r>
    </w:p>
    <w:p w14:paraId="E0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В. Ключевые показатели эффективности представлены </w:t>
      </w:r>
      <w:r>
        <w:rPr>
          <w:rFonts w:ascii="Times New Roman" w:hAnsi="Times New Roman"/>
          <w:color w:val="000000"/>
          <w:sz w:val="28"/>
        </w:rPr>
        <w:t xml:space="preserve">в приложении 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№ 8.</w:t>
      </w:r>
    </w:p>
    <w:p w14:paraId="E1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Приоритетные задачи.</w:t>
      </w:r>
    </w:p>
    <w:p w14:paraId="E2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1. М</w:t>
      </w:r>
      <w:r>
        <w:rPr>
          <w:rFonts w:ascii="Times New Roman" w:hAnsi="Times New Roman"/>
          <w:sz w:val="28"/>
        </w:rPr>
        <w:t>одернизация учреждений культуры:</w:t>
      </w:r>
    </w:p>
    <w:p w14:paraId="E3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проведение капитальных ремонтов учреждений культуры; </w:t>
      </w:r>
    </w:p>
    <w:p w14:paraId="E4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адаптация помещений учреждений культуры к потребностям граждан всех возрастных и социальных групп (в том числе со специальными потребностями).</w:t>
      </w:r>
    </w:p>
    <w:p w14:paraId="E5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2. Повышение привлекательности учреждений сферы культуры для жителей и гостей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:</w:t>
      </w:r>
    </w:p>
    <w:p w14:paraId="E6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укрепление материально-технической базы учреждений культуры, в том числе за счет оснащения и переоснащения современным оборудованием; </w:t>
      </w:r>
    </w:p>
    <w:p w14:paraId="E7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внедрение интерактивных технологий в экспозиционно-выставочную деятельность музе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и библиотек;</w:t>
      </w:r>
    </w:p>
    <w:p w14:paraId="E8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создание условий для показа национальных кинофильмов в кинозалах, расположенных в населенных пунктах с численностью населения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до 500 человек;</w:t>
      </w:r>
    </w:p>
    <w:p w14:paraId="E9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обновление компьютерного оборудования и оргтехники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учреждений культуры, улучшение качества доступа информационно-телекоммуникационной сети «Интернет» в части обеспеч</w:t>
      </w:r>
      <w:r>
        <w:rPr>
          <w:rFonts w:ascii="Times New Roman" w:hAnsi="Times New Roman"/>
          <w:sz w:val="28"/>
        </w:rPr>
        <w:t>ения широкополосным интернетом учреждений культуры;</w:t>
      </w:r>
    </w:p>
    <w:p w14:paraId="EA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расширение </w:t>
      </w:r>
      <w:r>
        <w:rPr>
          <w:rFonts w:ascii="Times New Roman" w:hAnsi="Times New Roman"/>
          <w:sz w:val="28"/>
        </w:rPr>
        <w:t>культурного</w:t>
      </w:r>
      <w:r>
        <w:rPr>
          <w:rFonts w:ascii="Times New Roman" w:hAnsi="Times New Roman"/>
          <w:sz w:val="28"/>
        </w:rPr>
        <w:t xml:space="preserve"> контента и создание новых проектов;</w:t>
      </w:r>
    </w:p>
    <w:p w14:paraId="EB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форматов и площадок культурного досуга;</w:t>
      </w:r>
    </w:p>
    <w:p w14:paraId="EC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продвижение и маркетинг учреждений культуры;</w:t>
      </w:r>
    </w:p>
    <w:p w14:paraId="ED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цифровых и мультимедийных сервисов.</w:t>
      </w:r>
    </w:p>
    <w:p w14:paraId="EE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3. Повышение качества кадрового обеспечения в отрасли культуры и искусства:</w:t>
      </w:r>
    </w:p>
    <w:p w14:paraId="EF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государственная поддержка работников сферы культуры;</w:t>
      </w:r>
    </w:p>
    <w:p w14:paraId="F0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участия в программе «Земский работник культуры»;</w:t>
      </w:r>
    </w:p>
    <w:p w14:paraId="F1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актуализация потребности кадров;</w:t>
      </w:r>
    </w:p>
    <w:p w14:paraId="F2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престижа профессий в отрасли культуры и искусства;</w:t>
      </w:r>
    </w:p>
    <w:p w14:paraId="F3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квалификации и профессиональное развитие;</w:t>
      </w:r>
    </w:p>
    <w:p w14:paraId="F4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улучшение условий труда и мотивации.</w:t>
      </w:r>
    </w:p>
    <w:p w14:paraId="F5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4. </w:t>
      </w:r>
      <w:r>
        <w:rPr>
          <w:rFonts w:ascii="Times New Roman" w:hAnsi="Times New Roman"/>
          <w:sz w:val="28"/>
        </w:rPr>
        <w:t>Цифровизация</w:t>
      </w:r>
      <w:r>
        <w:rPr>
          <w:rFonts w:ascii="Times New Roman" w:hAnsi="Times New Roman"/>
          <w:sz w:val="28"/>
        </w:rPr>
        <w:t xml:space="preserve"> отрасли культуры:</w:t>
      </w:r>
    </w:p>
    <w:p w14:paraId="F6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оснащение учреждений культуры современным оборудованием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программным обеспечением</w:t>
      </w:r>
      <w:r>
        <w:rPr>
          <w:rFonts w:ascii="Times New Roman" w:hAnsi="Times New Roman"/>
          <w:color w:val="FF0000"/>
          <w:sz w:val="28"/>
        </w:rPr>
        <w:t>.</w:t>
      </w:r>
    </w:p>
    <w:p w14:paraId="F7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5. Сохранение и восстановление культурного и исторического наследия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на основе традиционных российских духовно-нравственных и культурно-исторических ценностей:</w:t>
      </w:r>
    </w:p>
    <w:p w14:paraId="F8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и поддержка народного искусства, художественных промыслов и ремесел; </w:t>
      </w:r>
    </w:p>
    <w:p w14:paraId="F903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интеграция культурно-исторического наследия</w:t>
      </w:r>
      <w:r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 в туристическую инфраструктуру региона; </w:t>
      </w:r>
    </w:p>
    <w:p w14:paraId="FA03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Д. Стратегические проектные инициативы:</w:t>
      </w:r>
    </w:p>
    <w:p w14:paraId="FB03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Создание новых выставок и экспозиций, посвященных важным военно-историческим датам.</w:t>
      </w:r>
    </w:p>
    <w:p w14:paraId="FC03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 Реализация</w:t>
      </w:r>
      <w:r>
        <w:rPr>
          <w:rFonts w:ascii="Times New Roman" w:hAnsi="Times New Roman"/>
          <w:sz w:val="28"/>
        </w:rPr>
        <w:t xml:space="preserve"> исследовательских</w:t>
      </w:r>
      <w:r>
        <w:rPr>
          <w:rFonts w:ascii="Times New Roman" w:hAnsi="Times New Roman"/>
          <w:sz w:val="28"/>
        </w:rPr>
        <w:t xml:space="preserve"> (поисковых)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мероприятий</w:t>
      </w:r>
      <w:r>
        <w:rPr>
          <w:rFonts w:ascii="Times New Roman" w:hAnsi="Times New Roman"/>
          <w:sz w:val="28"/>
        </w:rPr>
        <w:t xml:space="preserve"> по истории Отечества и краеведению.</w:t>
      </w:r>
    </w:p>
    <w:p w14:paraId="FD03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 xml:space="preserve">. Расширение </w:t>
      </w:r>
      <w:r>
        <w:rPr>
          <w:rFonts w:ascii="Times New Roman" w:hAnsi="Times New Roman"/>
          <w:sz w:val="28"/>
        </w:rPr>
        <w:t>культурного</w:t>
      </w:r>
      <w:r>
        <w:rPr>
          <w:rFonts w:ascii="Times New Roman" w:hAnsi="Times New Roman"/>
          <w:sz w:val="28"/>
        </w:rPr>
        <w:t xml:space="preserve"> контента и создание новых проектов.</w:t>
      </w:r>
    </w:p>
    <w:p w14:paraId="FE03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 Создание спектаклей и концертных программ для детей и молодежной аудитории.</w:t>
      </w:r>
    </w:p>
    <w:p w14:paraId="FF03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 Развитие и модернизация муниципальных библиотек с учетом потребностей граждан всех возрастов, в том числе людей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ограниченными возможностями здоровья.</w:t>
      </w:r>
    </w:p>
    <w:p w14:paraId="0004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. Развитие цифровых и мультимедийных сервисов в сфере культуры.</w:t>
      </w:r>
    </w:p>
    <w:p w14:paraId="0104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 Сохранение традиций и создание условий для развития всех видов народного искусства и творчества, поддержка народных художественных промыслов и ремесел.</w:t>
      </w:r>
    </w:p>
    <w:p w14:paraId="0204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 Адаптация культурных пространств под разные социальные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возрастные группы.</w:t>
      </w:r>
    </w:p>
    <w:p w14:paraId="03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 Совершенствование форматов и площадок культурного досуга.</w:t>
      </w:r>
    </w:p>
    <w:p w14:paraId="04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10.</w:t>
      </w: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 xml:space="preserve">оведение средней заработной платы </w:t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 xml:space="preserve">работникам учреждений культуры  до средней заработной платы </w:t>
      </w:r>
      <w:r>
        <w:rPr>
          <w:rFonts w:ascii="Times New Roman" w:hAnsi="Times New Roman"/>
          <w:b w:val="0"/>
          <w:i w:val="0"/>
          <w:caps w:val="0"/>
          <w:color w:val="020B22"/>
          <w:spacing w:val="0"/>
          <w:sz w:val="28"/>
          <w:highlight w:val="white"/>
        </w:rPr>
        <w:t xml:space="preserve"> в Ростовской области.</w:t>
      </w:r>
    </w:p>
    <w:p w14:paraId="05040000">
      <w:bookmarkStart w:id="32" w:name="__RefHeading___32"/>
      <w:bookmarkEnd w:id="32"/>
      <w:pPr>
        <w:pStyle w:val="Style_8"/>
        <w:spacing w:line="240" w:lineRule="auto"/>
        <w:ind/>
      </w:pPr>
      <w:r>
        <w:t>4.2.3. Молодежная политика</w:t>
      </w:r>
    </w:p>
    <w:p w14:paraId="06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07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привлечение молодого поколения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к качественным преобразованиям политической и </w:t>
      </w:r>
      <w:r>
        <w:rPr>
          <w:rFonts w:ascii="Times New Roman" w:hAnsi="Times New Roman"/>
          <w:color w:val="000000"/>
          <w:sz w:val="28"/>
        </w:rPr>
        <w:t>социально-экономической жизни региона.</w:t>
      </w:r>
    </w:p>
    <w:p w14:paraId="08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09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Дефицит информированности молодежи о программах и мероприятиях молодежной политики в условиях возрастающего разнородного потока информации.</w:t>
      </w:r>
    </w:p>
    <w:p w14:paraId="0A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Нехватка человеческих ресурсов для работы с молод</w:t>
      </w:r>
      <w:r>
        <w:rPr>
          <w:rFonts w:ascii="Times New Roman" w:hAnsi="Times New Roman"/>
          <w:color w:val="000000"/>
          <w:sz w:val="28"/>
        </w:rPr>
        <w:t>ежью, отток молодежи из сельских территорий.</w:t>
      </w:r>
    </w:p>
    <w:p w14:paraId="0B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 Отсутствие мотивации населения к участию в добровольческой деятельности</w:t>
      </w:r>
    </w:p>
    <w:p w14:paraId="0C04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В. Ключевые показатели эффективности представлены</w:t>
      </w:r>
      <w:r>
        <w:rPr>
          <w:rFonts w:ascii="Times New Roman" w:hAnsi="Times New Roman"/>
          <w:color w:val="CF543F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в приложении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№ 8.</w:t>
      </w:r>
    </w:p>
    <w:p w14:paraId="0D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0E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1. Повышение вовлеченности молодежи </w:t>
      </w:r>
      <w:r>
        <w:rPr>
          <w:rFonts w:ascii="Times New Roman" w:hAnsi="Times New Roman"/>
          <w:color w:val="000000"/>
          <w:sz w:val="28"/>
        </w:rPr>
        <w:t>в социально-полезные активности, рост охвата программ и снижение барьеров для участия:</w:t>
      </w:r>
    </w:p>
    <w:p w14:paraId="0F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создания, функционирования и развития инфраструктуры молодежной политики</w:t>
      </w:r>
      <w:r>
        <w:rPr>
          <w:rFonts w:ascii="Times New Roman" w:hAnsi="Times New Roman"/>
          <w:color w:val="000000"/>
          <w:sz w:val="28"/>
        </w:rPr>
        <w:t>;</w:t>
      </w:r>
    </w:p>
    <w:p w14:paraId="10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серия мероприятий ко Дню молодежи.</w:t>
      </w:r>
    </w:p>
    <w:p w14:paraId="11040000">
      <w:pPr>
        <w:widowControl w:val="0"/>
        <w:tabs>
          <w:tab w:leader="none" w:pos="1276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2. Увеличение объема и форм поддержки добр</w:t>
      </w:r>
      <w:r>
        <w:rPr>
          <w:rFonts w:ascii="Times New Roman" w:hAnsi="Times New Roman"/>
          <w:color w:val="000000"/>
          <w:sz w:val="28"/>
        </w:rPr>
        <w:t>овольчества:</w:t>
      </w:r>
    </w:p>
    <w:p w14:paraId="12040000">
      <w:pPr>
        <w:widowControl w:val="0"/>
        <w:tabs>
          <w:tab w:leader="none" w:pos="993" w:val="left"/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популяризация единой информационной системы в сфере развития добровольчества (волонтерства) «Добро.рф»;</w:t>
      </w:r>
    </w:p>
    <w:p w14:paraId="13040000">
      <w:pPr>
        <w:widowControl w:val="0"/>
        <w:tabs>
          <w:tab w:leader="none" w:pos="993" w:val="left"/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 нематериальной системы мер поддержки участников добровольческой (волонтерской) деятельности.</w:t>
      </w:r>
    </w:p>
    <w:p w14:paraId="1404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3. Развитие экосис</w:t>
      </w:r>
      <w:r>
        <w:rPr>
          <w:rFonts w:ascii="Times New Roman" w:hAnsi="Times New Roman"/>
          <w:color w:val="000000"/>
          <w:sz w:val="28"/>
        </w:rPr>
        <w:t>темы добровольчества:</w:t>
      </w:r>
    </w:p>
    <w:p w14:paraId="15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увеличение численности граждан, вовлеченных в добровольческую деятельность; </w:t>
      </w:r>
    </w:p>
    <w:p w14:paraId="16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добровольчества сре</w:t>
      </w:r>
      <w:r>
        <w:rPr>
          <w:rFonts w:ascii="Times New Roman" w:hAnsi="Times New Roman"/>
          <w:color w:val="000000"/>
          <w:sz w:val="28"/>
        </w:rPr>
        <w:t>ди детей и молодежи, формирование гражданской активности.</w:t>
      </w:r>
    </w:p>
    <w:p w14:paraId="17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4. Формирование целостной системы поддержки обладающей лидерскими навыками инициативной и талантливой молодежи:</w:t>
      </w:r>
    </w:p>
    <w:p w14:paraId="18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системы раннего выявления и развития молодежных талантов и лидеров;</w:t>
      </w:r>
    </w:p>
    <w:p w14:paraId="19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формирование системы мотивации и признания заслуг молодежи в сфере добровольчества, научной и общественной деятельности;</w:t>
      </w:r>
    </w:p>
    <w:p w14:paraId="1A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5. Вовлечение молодежи в социальную практику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информирование ее о потенциальных возможностях собственного развития:</w:t>
      </w:r>
    </w:p>
    <w:p w14:paraId="1B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формирование эффективной системы информирования молодежи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о возмож</w:t>
      </w:r>
      <w:r>
        <w:rPr>
          <w:rFonts w:ascii="Times New Roman" w:hAnsi="Times New Roman"/>
          <w:color w:val="000000"/>
          <w:sz w:val="28"/>
        </w:rPr>
        <w:t>ностях участия в общественной, волонтерской и проектной деятельности;</w:t>
      </w:r>
    </w:p>
    <w:p w14:paraId="1C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муниципальных механизмов сопровождения активной молодежи.</w:t>
      </w:r>
    </w:p>
    <w:p w14:paraId="1D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6. Формирование у молодежи «российской идентичности»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реализ</w:t>
      </w:r>
      <w:r>
        <w:rPr>
          <w:rFonts w:ascii="Times New Roman" w:hAnsi="Times New Roman"/>
          <w:color w:val="000000"/>
          <w:sz w:val="28"/>
        </w:rPr>
        <w:t>ация мероприятий по профилактике асоциального поведения, этнического и религиозно-политического экстремизма в молодежной среде:</w:t>
      </w:r>
    </w:p>
    <w:p w14:paraId="1E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расширение практик вовлечения молодежи в позитивную социальную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гражданскую активность; </w:t>
      </w:r>
    </w:p>
    <w:p w14:paraId="1F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реализация программ диалога и межкультур</w:t>
      </w:r>
      <w:r>
        <w:rPr>
          <w:rFonts w:ascii="Times New Roman" w:hAnsi="Times New Roman"/>
          <w:color w:val="000000"/>
          <w:sz w:val="28"/>
        </w:rPr>
        <w:t>ного взаимодействия, направленных на укрепление межнационального и межконфессионального согласия;</w:t>
      </w:r>
    </w:p>
    <w:p w14:paraId="20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7. Комплексная социальная поддержка молодежи:</w:t>
      </w:r>
    </w:p>
    <w:p w14:paraId="21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эффективного взаимодействия с людьми с ограниченными возможнос</w:t>
      </w:r>
      <w:r>
        <w:rPr>
          <w:rFonts w:ascii="Times New Roman" w:hAnsi="Times New Roman"/>
          <w:color w:val="000000"/>
          <w:sz w:val="28"/>
        </w:rPr>
        <w:t>тями здоровья посредством их вовлечения в добровольческую (волонтерскую) деятельность;</w:t>
      </w:r>
    </w:p>
    <w:p w14:paraId="22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развитие добровольчества и гражданской активности;</w:t>
      </w:r>
    </w:p>
    <w:p w14:paraId="23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поддержка талантливой молодежи в науке, культуре, спорте, предпринимательстве;</w:t>
      </w:r>
    </w:p>
    <w:p w14:paraId="24040000">
      <w:pPr>
        <w:pStyle w:val="Style_10"/>
        <w:widowControl w:val="0"/>
        <w:tabs>
          <w:tab w:leader="none" w:pos="709" w:val="left"/>
          <w:tab w:leader="none" w:pos="1560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Д. Стратегические проектные инициативы: </w:t>
      </w:r>
    </w:p>
    <w:p w14:paraId="25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</w:t>
      </w:r>
      <w:r>
        <w:rPr>
          <w:rFonts w:ascii="Times New Roman" w:hAnsi="Times New Roman"/>
          <w:color w:val="000000"/>
          <w:sz w:val="28"/>
        </w:rPr>
        <w:t xml:space="preserve">Проведение </w:t>
      </w:r>
      <w:r>
        <w:rPr>
          <w:rFonts w:ascii="Times New Roman" w:hAnsi="Times New Roman"/>
          <w:color w:val="000000"/>
          <w:sz w:val="28"/>
        </w:rPr>
        <w:t>фестивалей, конференций с молодежными и детскими общественными объединениями.</w:t>
      </w:r>
    </w:p>
    <w:p w14:paraId="26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</w:t>
      </w:r>
      <w:r>
        <w:rPr>
          <w:rFonts w:ascii="Times New Roman" w:hAnsi="Times New Roman"/>
          <w:color w:val="000000"/>
          <w:sz w:val="28"/>
        </w:rPr>
        <w:t>Проведение</w:t>
      </w:r>
      <w:r>
        <w:rPr>
          <w:rFonts w:ascii="Times New Roman" w:hAnsi="Times New Roman"/>
          <w:color w:val="000000"/>
          <w:sz w:val="28"/>
        </w:rPr>
        <w:t xml:space="preserve"> рекламной кампании по популяризации добровольчества и благотворительности в  местных СМИ, через наружную  рекламу и рекламу в общественном транспорте, муниципальных ресурсах.</w:t>
      </w:r>
    </w:p>
    <w:p w14:paraId="27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3. </w:t>
      </w:r>
      <w:r>
        <w:rPr>
          <w:rFonts w:ascii="Times New Roman" w:hAnsi="Times New Roman"/>
          <w:color w:val="000000"/>
          <w:sz w:val="28"/>
        </w:rPr>
        <w:t>Участие в  региональном фестивале добро</w:t>
      </w:r>
      <w:r>
        <w:rPr>
          <w:rFonts w:ascii="Times New Roman" w:hAnsi="Times New Roman"/>
          <w:color w:val="000000"/>
          <w:sz w:val="28"/>
        </w:rPr>
        <w:t>вольчества (волонтерства) «ДоброФест».</w:t>
      </w:r>
    </w:p>
    <w:p w14:paraId="28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</w:t>
      </w:r>
      <w:r>
        <w:rPr>
          <w:rFonts w:ascii="Times New Roman" w:hAnsi="Times New Roman"/>
          <w:color w:val="000000"/>
          <w:sz w:val="28"/>
        </w:rPr>
        <w:t xml:space="preserve"> Реализация Общероссийской акции взаимопомощи #МЫВМЕСТЕ.</w:t>
      </w:r>
    </w:p>
    <w:p w14:paraId="29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5. </w:t>
      </w:r>
      <w:r>
        <w:rPr>
          <w:rFonts w:ascii="Times New Roman" w:hAnsi="Times New Roman"/>
          <w:color w:val="000000"/>
          <w:sz w:val="28"/>
        </w:rPr>
        <w:t xml:space="preserve">Развитие  молодежных центров на уровне </w:t>
      </w:r>
      <w:r>
        <w:rPr>
          <w:rFonts w:ascii="Times New Roman" w:hAnsi="Times New Roman"/>
          <w:color w:val="000000"/>
          <w:sz w:val="28"/>
        </w:rPr>
        <w:t xml:space="preserve"> района.</w:t>
      </w:r>
    </w:p>
    <w:p w14:paraId="2A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</w:t>
      </w:r>
      <w:r>
        <w:rPr>
          <w:rFonts w:ascii="Times New Roman" w:hAnsi="Times New Roman"/>
          <w:color w:val="000000"/>
          <w:sz w:val="28"/>
        </w:rPr>
        <w:t xml:space="preserve"> Донской патриотизм. Создание условий для участия детей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молодежи в п</w:t>
      </w:r>
      <w:r>
        <w:rPr>
          <w:rFonts w:ascii="Times New Roman" w:hAnsi="Times New Roman"/>
          <w:color w:val="000000"/>
          <w:sz w:val="28"/>
        </w:rPr>
        <w:t>атриотических проектах и программах через реализацию всероссийских патриотических проектов и акций, вовлечение детей и мо</w:t>
      </w:r>
      <w:r>
        <w:rPr>
          <w:rFonts w:ascii="Times New Roman" w:hAnsi="Times New Roman"/>
          <w:color w:val="000000"/>
          <w:sz w:val="28"/>
        </w:rPr>
        <w:t>лодежи в деятельность «Движение Первых» и программы общественно-полезного туризма.</w:t>
      </w:r>
    </w:p>
    <w:p w14:paraId="2B040000">
      <w:bookmarkStart w:id="33" w:name="__RefHeading___33"/>
      <w:bookmarkEnd w:id="33"/>
      <w:pPr>
        <w:pStyle w:val="Style_8"/>
      </w:pPr>
      <w:r>
        <w:t>4.2.4. Государственная национальная политика</w:t>
      </w:r>
    </w:p>
    <w:p w14:paraId="2C040000">
      <w:pPr>
        <w:pStyle w:val="Style_9"/>
      </w:pPr>
    </w:p>
    <w:p w14:paraId="2D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</w:t>
      </w:r>
      <w:r>
        <w:rPr>
          <w:rFonts w:ascii="Times New Roman" w:hAnsi="Times New Roman"/>
          <w:color w:val="000000"/>
          <w:sz w:val="28"/>
        </w:rPr>
        <w:t xml:space="preserve">Стратегическая цель – создание благоприятных условий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для укрепления межнационального согласия, а также формирования эффективной системы взаимодействия органов власти и гражданского общества в сфере государственной политики.</w:t>
      </w:r>
    </w:p>
    <w:p w14:paraId="2E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2F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Угроза исп</w:t>
      </w:r>
      <w:r>
        <w:rPr>
          <w:rFonts w:ascii="Times New Roman" w:hAnsi="Times New Roman"/>
          <w:color w:val="000000"/>
          <w:sz w:val="28"/>
        </w:rPr>
        <w:t xml:space="preserve">ользования фактора этноконфессиональных отношений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для дестабилизации общественно-политической ситуации в районе.</w:t>
      </w:r>
    </w:p>
    <w:p w14:paraId="30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 Недостаточная активность институтов гражданского общества в сфере </w:t>
      </w:r>
      <w:r>
        <w:rPr>
          <w:rFonts w:ascii="Times New Roman" w:hAnsi="Times New Roman"/>
          <w:color w:val="000000"/>
          <w:sz w:val="28"/>
        </w:rPr>
        <w:t>реализации государственной национальной политики.</w:t>
      </w:r>
    </w:p>
    <w:p w14:paraId="31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3. Угроза искусственног</w:t>
      </w:r>
      <w:r>
        <w:rPr>
          <w:rFonts w:ascii="Times New Roman" w:hAnsi="Times New Roman"/>
          <w:color w:val="000000"/>
          <w:sz w:val="28"/>
        </w:rPr>
        <w:t>о разобщения общества под внешним влиянием из-за этнокультурного, религиозного и социального многообразия, затрудняющая формирование единой общероссийской идентичности.</w:t>
      </w:r>
    </w:p>
    <w:p w14:paraId="32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В. Ключевые показатели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эффективности 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</w:t>
      </w:r>
    </w:p>
    <w:p w14:paraId="33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</w:t>
      </w:r>
      <w:r>
        <w:rPr>
          <w:rFonts w:ascii="Times New Roman" w:hAnsi="Times New Roman"/>
          <w:color w:val="000000"/>
          <w:sz w:val="28"/>
        </w:rPr>
        <w:t>дачи.</w:t>
      </w:r>
    </w:p>
    <w:p w14:paraId="34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1. Организация взаимодействия  органов местного самоуправления, институтов </w:t>
      </w:r>
      <w:r>
        <w:rPr>
          <w:rFonts w:ascii="Times New Roman" w:hAnsi="Times New Roman"/>
          <w:color w:val="000000"/>
          <w:sz w:val="28"/>
        </w:rPr>
        <w:t xml:space="preserve">гражданского общества при осуществлении установленных задач и функций </w:t>
      </w:r>
      <w:r>
        <w:rPr>
          <w:rFonts w:ascii="Times New Roman" w:hAnsi="Times New Roman"/>
          <w:color w:val="000000"/>
          <w:sz w:val="28"/>
        </w:rPr>
        <w:t>в сфере реализации государственной национальной политики:</w:t>
      </w:r>
    </w:p>
    <w:p w14:paraId="35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совершенствование системы взаимодействия органов местного самоуправления, институтов гражданского общества при осуществлении установленных задач и функций в сфере реализации государственной национальной политики;</w:t>
      </w:r>
    </w:p>
    <w:p w14:paraId="36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реализация комплекса мероприятий, направлен</w:t>
      </w:r>
      <w:r>
        <w:rPr>
          <w:rFonts w:ascii="Times New Roman" w:hAnsi="Times New Roman"/>
          <w:color w:val="000000"/>
          <w:sz w:val="28"/>
        </w:rPr>
        <w:t>ных на этнокультурное развитие народов, проживающих на территории Обливского района</w:t>
      </w:r>
      <w:r>
        <w:rPr>
          <w:rFonts w:ascii="Times New Roman" w:hAnsi="Times New Roman"/>
          <w:color w:val="000000"/>
          <w:sz w:val="28"/>
        </w:rPr>
        <w:t>;</w:t>
      </w:r>
    </w:p>
    <w:p w14:paraId="37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обеспечение информационного освещения деятельности органов местного самоуправления</w:t>
      </w:r>
      <w:r>
        <w:rPr>
          <w:rFonts w:ascii="Times New Roman" w:hAnsi="Times New Roman"/>
          <w:color w:val="000000"/>
          <w:sz w:val="28"/>
        </w:rPr>
        <w:t xml:space="preserve"> в сфере реализации государственной национальной политики.</w:t>
      </w:r>
    </w:p>
    <w:p w14:paraId="38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2. Сохранение и поддержка этнокультурного и языкового многообразия народов, проживающих в Обливском районе, с учетом приоритета традиционных российск</w:t>
      </w:r>
      <w:r>
        <w:rPr>
          <w:rFonts w:ascii="Times New Roman" w:hAnsi="Times New Roman"/>
          <w:color w:val="000000"/>
          <w:sz w:val="28"/>
        </w:rPr>
        <w:t xml:space="preserve">их духовно-нравственных ценностей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объединяющей роли русского народа как основ российского общества:</w:t>
      </w:r>
    </w:p>
    <w:p w14:paraId="39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стимулирование институтов гражданского общества в Обливском районе к реализации мероприятий, направленных на укрепление этноконфессионального согласия;</w:t>
      </w:r>
    </w:p>
    <w:p w14:paraId="3A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</w:t>
      </w:r>
      <w:r>
        <w:rPr>
          <w:rFonts w:ascii="Times New Roman" w:hAnsi="Times New Roman"/>
          <w:color w:val="000000"/>
          <w:sz w:val="28"/>
        </w:rPr>
        <w:t xml:space="preserve">едение муниципальных фестивалей, иных культурно-массовых мероприятий, направленных на сохранение и развитие самобытности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культуры народов Дона.</w:t>
      </w:r>
    </w:p>
    <w:p w14:paraId="3B040000">
      <w:pPr>
        <w:widowControl w:val="0"/>
        <w:tabs>
          <w:tab w:leader="none" w:pos="426" w:val="left"/>
          <w:tab w:leader="none" w:pos="1418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Д. Стратегические проектные инициативы: </w:t>
      </w:r>
    </w:p>
    <w:p w14:paraId="3C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Организация и проведение мероприятий по повышению уровня профессиональной компетенции специалистов </w:t>
      </w:r>
      <w:r>
        <w:rPr>
          <w:rFonts w:ascii="Times New Roman" w:hAnsi="Times New Roman"/>
          <w:color w:val="000000"/>
          <w:sz w:val="28"/>
        </w:rPr>
        <w:t xml:space="preserve"> органов местного самоуправления, к </w:t>
      </w:r>
      <w:r>
        <w:rPr>
          <w:rFonts w:ascii="Times New Roman" w:hAnsi="Times New Roman"/>
          <w:color w:val="000000"/>
          <w:sz w:val="28"/>
        </w:rPr>
        <w:t>функциональным задачам которых отнесены вопросы реализации государственной национальной политики.</w:t>
      </w:r>
    </w:p>
    <w:p w14:paraId="3D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 Проведение информационных кампаний в муниципальных средствах массовой </w:t>
      </w:r>
      <w:r>
        <w:rPr>
          <w:rFonts w:ascii="Times New Roman" w:hAnsi="Times New Roman"/>
          <w:color w:val="000000"/>
          <w:sz w:val="28"/>
        </w:rPr>
        <w:t>информации и социальных медиа, направленных на информирование жителей о реализации государственной национальной политики.</w:t>
      </w:r>
    </w:p>
    <w:p w14:paraId="3E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 Оказание поддержки социально-ориентированным некоммерческим организациям путем предоставления на конкурсной основе субсидий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на </w:t>
      </w:r>
      <w:r>
        <w:rPr>
          <w:rFonts w:ascii="Times New Roman" w:hAnsi="Times New Roman"/>
          <w:color w:val="000000"/>
          <w:sz w:val="28"/>
        </w:rPr>
        <w:t>реализацию социально значимых проектов в сфере реализации государственной национальной политики.</w:t>
      </w:r>
    </w:p>
    <w:p w14:paraId="3F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4.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sz w:val="28"/>
        </w:rPr>
        <w:t>Проведение иных культурно-массовых мероприятий, направленных на сохранение и развитие самобытности и культуры народов Дона.</w:t>
      </w:r>
    </w:p>
    <w:p w14:paraId="40040000">
      <w:bookmarkStart w:id="34" w:name="__RefHeading___34"/>
      <w:bookmarkEnd w:id="34"/>
      <w:pPr>
        <w:pStyle w:val="Style_8"/>
      </w:pPr>
      <w:r>
        <w:t>4.2.5. Казачество</w:t>
      </w:r>
    </w:p>
    <w:p w14:paraId="41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содействие консолидации казачества</w:t>
      </w:r>
      <w:r>
        <w:rPr>
          <w:rFonts w:ascii="Times New Roman" w:hAnsi="Times New Roman"/>
          <w:color w:val="000000"/>
          <w:sz w:val="28"/>
        </w:rPr>
        <w:t>, сохранению, развитию и использованию духовного наследия и культуры казачества для обеспечения реализации его потребности в служении обществу.</w:t>
      </w:r>
    </w:p>
    <w:p w14:paraId="42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43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Недостаточная численность молодежи среди членов казачьих обществ.</w:t>
      </w:r>
    </w:p>
    <w:p w14:paraId="44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Износ материально-технической базы обр</w:t>
      </w:r>
      <w:r>
        <w:rPr>
          <w:rFonts w:ascii="Times New Roman" w:hAnsi="Times New Roman"/>
          <w:color w:val="000000"/>
          <w:sz w:val="28"/>
        </w:rPr>
        <w:t>азовательных организаций, осуществляющих казачье кадетское образование, реализующих образовательные программы СПО.</w:t>
      </w:r>
    </w:p>
    <w:p w14:paraId="4504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В. Ключевые показатели</w:t>
      </w:r>
      <w:r>
        <w:rPr>
          <w:rFonts w:ascii="Times New Roman" w:hAnsi="Times New Roman"/>
          <w:color w:val="000000"/>
          <w:sz w:val="28"/>
        </w:rPr>
        <w:t xml:space="preserve"> эффективности 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46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</w:t>
      </w:r>
      <w:r>
        <w:rPr>
          <w:rFonts w:ascii="Times New Roman" w:hAnsi="Times New Roman"/>
          <w:color w:val="000000"/>
          <w:sz w:val="28"/>
        </w:rPr>
        <w:t>дачи.</w:t>
      </w:r>
    </w:p>
    <w:p w14:paraId="47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</w:t>
      </w:r>
      <w:r>
        <w:rPr>
          <w:rFonts w:ascii="Times New Roman" w:hAnsi="Times New Roman"/>
          <w:color w:val="CF543F"/>
          <w:sz w:val="28"/>
        </w:rPr>
        <w:t xml:space="preserve"> </w:t>
      </w:r>
      <w:r>
        <w:t xml:space="preserve"> </w:t>
      </w:r>
      <w:r>
        <w:rPr>
          <w:rFonts w:ascii="Times New Roman" w:hAnsi="Times New Roman"/>
          <w:sz w:val="28"/>
        </w:rPr>
        <w:t>Содействие организации государственной и иной службы казачества:</w:t>
      </w:r>
    </w:p>
    <w:p w14:paraId="4804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68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оказание содействия членами казачьих обществ органам публичной власти в осуществлении установленных задач и функций;</w:t>
      </w:r>
    </w:p>
    <w:p w14:paraId="4904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68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поддержка интеграционных процессов казачьих обществ, сохранение позитивного, государственно ориентированного вектора их деятельности.</w:t>
      </w:r>
    </w:p>
    <w:p w14:paraId="4A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2. Поддержка казачьих молодежных организаций как механизма патриотического воспитания и реализации социального потенциала казачьей молодежи:</w:t>
      </w:r>
    </w:p>
    <w:p w14:paraId="4B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увеличение</w:t>
      </w:r>
      <w:r>
        <w:rPr>
          <w:rFonts w:ascii="Times New Roman" w:hAnsi="Times New Roman"/>
          <w:color w:val="000000"/>
          <w:sz w:val="28"/>
        </w:rPr>
        <w:t xml:space="preserve"> численности молодежи, вовлеченной в деятельность казачьей детско-молодежной региональной общественной организации «Донцы»; </w:t>
      </w:r>
      <w:r>
        <w:rPr>
          <w:color w:val="CF543F"/>
        </w:rPr>
        <w:br/>
      </w:r>
      <w:r>
        <w:rPr>
          <w:rFonts w:ascii="Times New Roman" w:hAnsi="Times New Roman"/>
          <w:color w:val="000000"/>
          <w:sz w:val="28"/>
        </w:rPr>
        <w:t xml:space="preserve">        </w:t>
      </w:r>
      <w:r>
        <w:rPr>
          <w:rFonts w:ascii="Times New Roman" w:hAnsi="Times New Roman"/>
          <w:color w:val="000000"/>
          <w:sz w:val="28"/>
        </w:rPr>
        <w:t xml:space="preserve">Д. Стратегические проектные инициативы: </w:t>
      </w:r>
    </w:p>
    <w:p w14:paraId="4C04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Осуществление мер, направленных на поддержку, развитие и изучение ист</w:t>
      </w:r>
      <w:r>
        <w:rPr>
          <w:rFonts w:ascii="Times New Roman" w:hAnsi="Times New Roman"/>
          <w:color w:val="000000"/>
          <w:sz w:val="28"/>
        </w:rPr>
        <w:t>ории и культуры донского казачества, сохранение и популяризацию его наследия и этнокультурного достояния.</w:t>
      </w:r>
    </w:p>
    <w:p w14:paraId="4D04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Повышение престижа государственной или иной службы российского казачества.</w:t>
      </w:r>
    </w:p>
    <w:p w14:paraId="4E04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 Содействие реализации образовательных программ с использованием исторических и традиционных ценностей российского казачества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в образовательных организациях и присвоение им статуса </w:t>
      </w:r>
      <w:r>
        <w:rPr>
          <w:rFonts w:ascii="Times New Roman" w:hAnsi="Times New Roman"/>
          <w:color w:val="000000"/>
          <w:sz w:val="28"/>
        </w:rPr>
        <w:t>«казачье».</w:t>
      </w:r>
    </w:p>
    <w:p w14:paraId="4F04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 Укрепление единства образовательного пространства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воспитательной среды организаций, использующих в образовательном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воспитательном процессах культурно-исторические традиции донского казачества и рег</w:t>
      </w:r>
      <w:r>
        <w:rPr>
          <w:rFonts w:ascii="Times New Roman" w:hAnsi="Times New Roman"/>
          <w:color w:val="000000"/>
          <w:sz w:val="28"/>
        </w:rPr>
        <w:t>иональные особенности Донского края.</w:t>
      </w:r>
    </w:p>
    <w:p w14:paraId="50040000">
      <w:pPr>
        <w:widowControl w:val="0"/>
        <w:tabs>
          <w:tab w:leader="none" w:pos="426" w:val="left"/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 Актуализация роли казачества через развитие волонтерского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наставнического движений среди казачьих обществ и казачьих образовательных организаций.</w:t>
      </w:r>
    </w:p>
    <w:p w14:paraId="51040000">
      <w:pPr>
        <w:widowControl w:val="0"/>
        <w:spacing w:after="0" w:before="0" w:line="240" w:lineRule="auto"/>
        <w:ind w:firstLine="0" w:left="0"/>
        <w:jc w:val="center"/>
        <w:rPr>
          <w:rFonts w:ascii="Times New Roman" w:hAnsi="Times New Roman"/>
          <w:color w:val="CF543F"/>
          <w:sz w:val="28"/>
        </w:rPr>
      </w:pPr>
    </w:p>
    <w:p w14:paraId="52040000">
      <w:bookmarkStart w:id="35" w:name="__RefHeading___35"/>
      <w:bookmarkEnd w:id="35"/>
      <w:pPr>
        <w:pStyle w:val="Style_6"/>
      </w:pPr>
      <w:r>
        <w:t>4.3. Комфорт</w:t>
      </w:r>
      <w:r>
        <w:t xml:space="preserve">ная и безопасная среда для жизни в Обливском районе </w:t>
      </w:r>
    </w:p>
    <w:p w14:paraId="53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реализации национальной цели:</w:t>
      </w:r>
    </w:p>
    <w:p w14:paraId="54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показателей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2024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</w:t>
            </w:r>
          </w:p>
        </w:tc>
      </w:tr>
    </w:tbl>
    <w:p w14:paraId="5A040000">
      <w:pPr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4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Объем ввода в эксплуатацию жилой </w:t>
            </w:r>
          </w:p>
          <w:p w14:paraId="62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 нежилой недвижимости (млн</w:t>
            </w:r>
            <w:r>
              <w:rPr>
                <w:rFonts w:ascii="Times New Roman" w:hAnsi="Times New Roman"/>
                <w:sz w:val="28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t>кв. метров)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4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0,002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4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0,002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4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0,003</w:t>
            </w:r>
          </w:p>
        </w:tc>
      </w:tr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4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Качество среды для жизни в опорных населенных пунктах (процентов)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4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20,3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4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30,7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4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43,2</w:t>
            </w:r>
          </w:p>
        </w:tc>
      </w:tr>
    </w:tbl>
    <w:p w14:paraId="6B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16"/>
        </w:rPr>
      </w:pPr>
    </w:p>
    <w:p w14:paraId="6C040000">
      <w:bookmarkStart w:id="36" w:name="__RefHeading___36"/>
      <w:bookmarkEnd w:id="36"/>
      <w:pPr>
        <w:pStyle w:val="Style_8"/>
      </w:pPr>
      <w:r>
        <w:t xml:space="preserve">4.3.1. Строительный комплекс </w:t>
      </w:r>
    </w:p>
    <w:p w14:paraId="6D040000">
      <w:pPr>
        <w:pStyle w:val="Style_9"/>
      </w:pPr>
    </w:p>
    <w:p w14:paraId="6E04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повышение комфортности и </w:t>
      </w:r>
      <w:r>
        <w:rPr>
          <w:rFonts w:ascii="Times New Roman" w:hAnsi="Times New Roman"/>
          <w:color w:val="000000"/>
          <w:sz w:val="28"/>
        </w:rPr>
        <w:t>доступности жилья, улучшение качества городской среды на основе развития эффективной, конкурентной, высокотехнологичной, открытой строительной отрасли.</w:t>
      </w:r>
    </w:p>
    <w:p w14:paraId="6F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70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Недостаток высококвалифицированных трудовых ресурсов строительной отрасли.</w:t>
      </w:r>
    </w:p>
    <w:p w14:paraId="71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Отсутствие достаточной обеспеченности объектами социальной инфраструктуры при жилищном строительстве.</w:t>
      </w:r>
    </w:p>
    <w:p w14:paraId="72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Значительные сроки реализации крупных инвестиционных проектов.</w:t>
      </w:r>
    </w:p>
    <w:p w14:paraId="7304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 Недостаточный уровень развитости инфраструктуры для жизни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опорных населенных</w:t>
      </w:r>
      <w:r>
        <w:rPr>
          <w:rFonts w:ascii="Times New Roman" w:hAnsi="Times New Roman"/>
          <w:color w:val="000000"/>
          <w:sz w:val="28"/>
        </w:rPr>
        <w:t xml:space="preserve"> пунктах.</w:t>
      </w:r>
    </w:p>
    <w:p w14:paraId="7404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 xml:space="preserve">В. Ключевые показатели эффективности 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7504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</w:t>
      </w:r>
      <w:r>
        <w:rPr>
          <w:rFonts w:ascii="Times New Roman" w:hAnsi="Times New Roman"/>
          <w:color w:val="000000"/>
          <w:sz w:val="28"/>
        </w:rPr>
        <w:t>дачи.</w:t>
      </w:r>
    </w:p>
    <w:p w14:paraId="7604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1. Повышение уровня доступности и качества жилищного фонда:</w:t>
      </w:r>
    </w:p>
    <w:p w14:paraId="7704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Развитие территорий через вовлечение в оборот земельных участков; </w:t>
      </w:r>
    </w:p>
    <w:p w14:paraId="7804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мероприятий территориального планирования (инженерные геодезические изыскания, межевание территории);</w:t>
      </w:r>
    </w:p>
    <w:p w14:paraId="7904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предоставления жилых помещений детям-сиротам и детям, оставшимся без попечения родителей;</w:t>
      </w:r>
    </w:p>
    <w:p w14:paraId="7A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7B040000">
      <w:pPr>
        <w:widowControl w:val="0"/>
        <w:tabs>
          <w:tab w:leader="none" w:pos="426" w:val="left"/>
          <w:tab w:leader="none" w:pos="1276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Обеспечение жильем молодых семей.</w:t>
      </w:r>
    </w:p>
    <w:p w14:paraId="7C040000">
      <w:pPr>
        <w:widowControl w:val="0"/>
        <w:tabs>
          <w:tab w:leader="none" w:pos="426" w:val="left"/>
          <w:tab w:leader="none" w:pos="1276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 Обеспечение жилыми помещениями детей-сирот и детей, оставшихся без попечения родителей, лиц из числа детей-сирот и детей, оставшихся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без попечения родителей.</w:t>
      </w:r>
    </w:p>
    <w:p w14:paraId="7D040000">
      <w:pPr>
        <w:widowControl w:val="0"/>
        <w:tabs>
          <w:tab w:leader="none" w:pos="426" w:val="left"/>
          <w:tab w:leader="none" w:pos="1276" w:val="left"/>
        </w:tabs>
        <w:spacing w:after="0" w:line="252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Сохранение темпов роста по объему ввода жилья;</w:t>
      </w:r>
    </w:p>
    <w:p w14:paraId="7E040000">
      <w:pPr>
        <w:widowControl w:val="0"/>
        <w:tabs>
          <w:tab w:leader="none" w:pos="426" w:val="left"/>
          <w:tab w:leader="none" w:pos="1276" w:val="left"/>
        </w:tabs>
        <w:spacing w:after="0" w:line="252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Строительство жилья, обеспеченного инженерной и социальной инфраструктурой;</w:t>
      </w:r>
    </w:p>
    <w:p w14:paraId="7F040000">
      <w:bookmarkStart w:id="37" w:name="__RefHeading___37"/>
      <w:bookmarkEnd w:id="37"/>
      <w:pPr>
        <w:pStyle w:val="Style_8"/>
      </w:pPr>
      <w:r>
        <w:t>4.3.2. Жилищно-коммунальное хозяйство</w:t>
      </w:r>
    </w:p>
    <w:p w14:paraId="80040000">
      <w:pPr>
        <w:pStyle w:val="Style_9"/>
      </w:pPr>
    </w:p>
    <w:p w14:paraId="81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создание современной, устойчивой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экологичной системы жилищно-коммунального хозяйства, обеспечивающей надежную инженерную</w:t>
      </w:r>
      <w:r>
        <w:rPr>
          <w:rFonts w:ascii="Times New Roman" w:hAnsi="Times New Roman"/>
          <w:color w:val="000000"/>
          <w:sz w:val="28"/>
        </w:rPr>
        <w:t xml:space="preserve"> инфраструктуру, доступность коммунальных услуг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для всего населения региона, модернизацию сетевого хозяйства и комплексное развитие городской среды.</w:t>
      </w:r>
    </w:p>
    <w:p w14:paraId="82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83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Переполненные полигоны твердых бытовых отходов, ограниченные мощности для сортировки, утилизации и переработки мусора.</w:t>
      </w:r>
    </w:p>
    <w:p w14:paraId="84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 Недостаточный уровень вовлечения отходов производства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потребления в качестве в</w:t>
      </w:r>
      <w:r>
        <w:rPr>
          <w:rFonts w:ascii="Times New Roman" w:hAnsi="Times New Roman"/>
          <w:color w:val="000000"/>
          <w:sz w:val="28"/>
        </w:rPr>
        <w:t>торичных ресурсов и сырья.</w:t>
      </w:r>
    </w:p>
    <w:p w14:paraId="85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 Неудовлетворительное состояние систем тепло-, водоснабжения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водоотведения.</w:t>
      </w:r>
    </w:p>
    <w:p w14:paraId="86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Высокая аварийность систем коммунальной инфраструктуры.</w:t>
      </w:r>
    </w:p>
    <w:p w14:paraId="8704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В. Ключевые показатели</w:t>
      </w:r>
      <w:r>
        <w:rPr>
          <w:rFonts w:ascii="Times New Roman" w:hAnsi="Times New Roman"/>
          <w:color w:val="000000"/>
          <w:sz w:val="28"/>
        </w:rPr>
        <w:t xml:space="preserve"> эффективности 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88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</w:t>
      </w:r>
      <w:r>
        <w:rPr>
          <w:rFonts w:ascii="Times New Roman" w:hAnsi="Times New Roman"/>
          <w:color w:val="000000"/>
          <w:sz w:val="28"/>
        </w:rPr>
        <w:t>дачи.</w:t>
      </w:r>
    </w:p>
    <w:p w14:paraId="89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 Повышение уровня санитарно-технического состояния сетей водоснабжения, водоотведения и теплоснабжения:</w:t>
      </w:r>
    </w:p>
    <w:p w14:paraId="8A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выполнение работ по капитальному ремонту и реконструкции инженерных сетей;</w:t>
      </w:r>
    </w:p>
    <w:p w14:paraId="8B04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овышение надежности работы коммунальных сетей за счет систематического технического </w:t>
      </w:r>
      <w:r>
        <w:rPr>
          <w:rFonts w:ascii="Times New Roman" w:hAnsi="Times New Roman"/>
          <w:color w:val="000000"/>
          <w:sz w:val="28"/>
        </w:rPr>
        <w:t>контроля и предаварийной диагностики;</w:t>
      </w:r>
    </w:p>
    <w:p w14:paraId="8C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модернизация технологического оборудования коммунальных предприятий с применением энергоэффективных решений;</w:t>
      </w:r>
    </w:p>
    <w:p w14:paraId="8D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2. Повышение уровня информированности граждан в сфере ЖКХ:</w:t>
      </w:r>
    </w:p>
    <w:p w14:paraId="8E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расширение публ</w:t>
      </w:r>
      <w:r>
        <w:rPr>
          <w:rFonts w:ascii="Times New Roman" w:hAnsi="Times New Roman"/>
          <w:color w:val="000000"/>
          <w:sz w:val="28"/>
        </w:rPr>
        <w:t xml:space="preserve">ичного информационного сопровождения ключевых изменений в законодательстве и нормативных актах ЖКХ; </w:t>
      </w:r>
    </w:p>
    <w:p w14:paraId="8F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повышение правовой и управленческой грамотности населения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вопросах предоста</w:t>
      </w:r>
      <w:r>
        <w:rPr>
          <w:rFonts w:ascii="Times New Roman" w:hAnsi="Times New Roman"/>
          <w:color w:val="000000"/>
          <w:sz w:val="28"/>
        </w:rPr>
        <w:t>вления коммунальных услуг и содержания жилья;</w:t>
      </w:r>
    </w:p>
    <w:p w14:paraId="9004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повышение платежной дисциплины собственников жилья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с использованием платформенных решений для управления жилищным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комм</w:t>
      </w:r>
      <w:r>
        <w:rPr>
          <w:rFonts w:ascii="Times New Roman" w:hAnsi="Times New Roman"/>
          <w:color w:val="000000"/>
          <w:sz w:val="28"/>
        </w:rPr>
        <w:t>унальным хозяйством.</w:t>
      </w:r>
    </w:p>
    <w:p w14:paraId="91040000">
      <w:pPr>
        <w:widowControl w:val="0"/>
        <w:tabs>
          <w:tab w:leader="none" w:pos="1276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3. Улучшение качества предоставляемых коммунальных услуг:</w:t>
      </w:r>
    </w:p>
    <w:p w14:paraId="9204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усиление контроля за утверждением и выполнением инвестиционных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производственных программ организаций в сфере водоснабжения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водоотведения;</w:t>
      </w:r>
    </w:p>
    <w:p w14:paraId="9304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сокращение доли задолженности п</w:t>
      </w:r>
      <w:r>
        <w:rPr>
          <w:rFonts w:ascii="Times New Roman" w:hAnsi="Times New Roman"/>
          <w:color w:val="000000"/>
          <w:sz w:val="28"/>
        </w:rPr>
        <w:t>отребителей коммунальных услуг (ресурсов) перед ресурсоснабжающими организациями;</w:t>
      </w:r>
    </w:p>
    <w:p w14:paraId="94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замена не менее 2,5 процента общего объема сетей водоснабжения, водоотведения и теплоснабжения ежегодно;</w:t>
      </w:r>
    </w:p>
    <w:p w14:paraId="95040000">
      <w:pPr>
        <w:widowControl w:val="0"/>
        <w:tabs>
          <w:tab w:leader="none" w:pos="709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4. Улучшение качества очистки питьевой воды и канализационных сточных вод:</w:t>
      </w:r>
    </w:p>
    <w:p w14:paraId="96040000">
      <w:pPr>
        <w:widowControl w:val="0"/>
        <w:tabs>
          <w:tab w:leader="none" w:pos="993" w:val="left"/>
          <w:tab w:leader="none" w:pos="1134" w:val="left"/>
        </w:tabs>
        <w:spacing w:after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недрение современных и безопасных методов обработки питьевой воды с использованием новых технологий;</w:t>
      </w:r>
    </w:p>
    <w:p w14:paraId="97040000">
      <w:pPr>
        <w:widowControl w:val="0"/>
        <w:tabs>
          <w:tab w:leader="none" w:pos="993" w:val="left"/>
          <w:tab w:leader="none" w:pos="1134" w:val="left"/>
        </w:tabs>
        <w:spacing w:after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участие в региональном проекте «Модернизация коммунальной инфраструктуры» в целях реализации мероприятий по улучшению качества питьевого водоснабжения;</w:t>
      </w:r>
    </w:p>
    <w:p w14:paraId="9804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5. Совершенствование системы обращения с твердыми коммунальными отходами:</w:t>
      </w:r>
    </w:p>
    <w:p w14:paraId="9904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68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обновление контейнерного парка (замена устаревших металлических емкостей на современные пластиковые контейнеры, установка достаточного количества контейнеров для раздельного сбора отходов и контейнеров (бункеров) для сбора крупногабаритных отходов);</w:t>
      </w:r>
    </w:p>
    <w:p w14:paraId="9A040000">
      <w:pPr>
        <w:widowControl w:val="0"/>
        <w:tabs>
          <w:tab w:leader="none" w:pos="993" w:val="left"/>
          <w:tab w:leader="none" w:pos="1134" w:val="left"/>
        </w:tabs>
        <w:spacing w:after="0" w:line="252" w:lineRule="auto"/>
        <w:ind w:firstLine="68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рекультивация закрытых полигонов.</w:t>
      </w:r>
    </w:p>
    <w:p w14:paraId="9B04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6. Цифровая трансформация жилищно-коммунального хозяйства:</w:t>
      </w:r>
    </w:p>
    <w:p w14:paraId="9C04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использование цифровых сервисов на базе отраслевой цифровой платформы «Управление ЖКХ и коммунальной инфраструктурой» и (или) интегрированных с ней региональных информационных систем (платформ) с аналогичной функциональностью;</w:t>
      </w:r>
    </w:p>
    <w:p w14:paraId="9D04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заполнение цифровых паспортов на отраслевой цифровой платформе «Управление ЖКХ и коммунальной инфраструктурой» и (или) в интегрированных с ней региональных информационных системах (платформах) с аналогичной функциональностью – Увеличение количества активных пользователей мобильного приложения «</w:t>
      </w:r>
      <w:r>
        <w:rPr>
          <w:rFonts w:ascii="Times New Roman" w:hAnsi="Times New Roman"/>
          <w:color w:val="000000"/>
          <w:sz w:val="28"/>
        </w:rPr>
        <w:t>Госуслуги</w:t>
      </w:r>
      <w:r>
        <w:rPr>
          <w:rFonts w:ascii="Times New Roman" w:hAnsi="Times New Roman"/>
          <w:color w:val="000000"/>
          <w:sz w:val="28"/>
        </w:rPr>
        <w:t>.Д</w:t>
      </w:r>
      <w:r>
        <w:rPr>
          <w:rFonts w:ascii="Times New Roman" w:hAnsi="Times New Roman"/>
          <w:color w:val="000000"/>
          <w:sz w:val="28"/>
        </w:rPr>
        <w:t>ом</w:t>
      </w:r>
      <w:r>
        <w:rPr>
          <w:rFonts w:ascii="Times New Roman" w:hAnsi="Times New Roman"/>
          <w:color w:val="000000"/>
          <w:sz w:val="28"/>
        </w:rPr>
        <w:t>» и (или) его региональных аналогов.</w:t>
      </w:r>
    </w:p>
    <w:p w14:paraId="9E040000">
      <w:pPr>
        <w:widowControl w:val="0"/>
        <w:tabs>
          <w:tab w:leader="none" w:pos="426" w:val="left"/>
          <w:tab w:leader="none" w:pos="1418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Д. Стратегические проектные инициативы: </w:t>
      </w:r>
    </w:p>
    <w:p w14:paraId="9F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Благоустройство </w:t>
      </w:r>
      <w:r>
        <w:rPr>
          <w:rFonts w:ascii="Times New Roman" w:hAnsi="Times New Roman"/>
          <w:color w:val="000000"/>
          <w:sz w:val="28"/>
        </w:rPr>
        <w:t>общественных территорий, дворовых территорий, проектов победителей Всероссийского конкурса создания комфортной городской среды и общественных территорий в рамках инициативных проектов.</w:t>
      </w:r>
    </w:p>
    <w:p w14:paraId="A0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 Инвентаризация и обустройство детских игровых и спортивных площадок. Реализация программы строительства детских игровых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спортивных площадок.</w:t>
      </w:r>
    </w:p>
    <w:p w14:paraId="A1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</w:t>
      </w:r>
      <w:r>
        <w:rPr>
          <w:rFonts w:ascii="Times New Roman" w:hAnsi="Times New Roman"/>
          <w:color w:val="000000"/>
          <w:sz w:val="28"/>
        </w:rPr>
        <w:t xml:space="preserve"> Проведение работ по р</w:t>
      </w:r>
      <w:r>
        <w:rPr>
          <w:rFonts w:ascii="Times New Roman" w:hAnsi="Times New Roman"/>
          <w:color w:val="000000"/>
          <w:sz w:val="28"/>
        </w:rPr>
        <w:t>еконструкции системы водоснабжения в станице Обливской.</w:t>
      </w:r>
    </w:p>
    <w:p w14:paraId="A204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 Проведение работ по благоустройству скверов  (центральный сквер в ст. Обливской на улице Ленина</w:t>
      </w:r>
      <w:r>
        <w:rPr>
          <w:rFonts w:ascii="Times New Roman" w:hAnsi="Times New Roman"/>
          <w:color w:val="000000"/>
          <w:sz w:val="28"/>
        </w:rPr>
        <w:t>; сквер на привокзальной площади ст. Обливской по улице Кузнецова</w:t>
      </w:r>
      <w:r>
        <w:rPr>
          <w:rFonts w:ascii="Times New Roman" w:hAnsi="Times New Roman"/>
          <w:color w:val="000000"/>
          <w:sz w:val="28"/>
        </w:rPr>
        <w:t>)</w:t>
      </w:r>
      <w:r>
        <w:rPr>
          <w:rFonts w:ascii="Times New Roman" w:hAnsi="Times New Roman"/>
          <w:color w:val="000000"/>
          <w:sz w:val="28"/>
        </w:rPr>
        <w:t>.</w:t>
      </w:r>
    </w:p>
    <w:p w14:paraId="A3040000">
      <w:bookmarkStart w:id="38" w:name="__RefHeading___38"/>
      <w:bookmarkEnd w:id="38"/>
      <w:pPr>
        <w:pStyle w:val="Style_8"/>
      </w:pPr>
      <w:r>
        <w:t>4.3.3. Транспорт и логистика</w:t>
      </w:r>
    </w:p>
    <w:p w14:paraId="A4040000">
      <w:pPr>
        <w:pStyle w:val="Style_9"/>
      </w:pPr>
    </w:p>
    <w:p w14:paraId="A504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</w:t>
      </w:r>
      <w:r>
        <w:rPr>
          <w:rFonts w:ascii="Times New Roman" w:hAnsi="Times New Roman"/>
          <w:color w:val="000000"/>
          <w:sz w:val="28"/>
        </w:rPr>
        <w:t xml:space="preserve">повышение пространственной связанности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транспортной доступности территории района, повышение мобильности населения и развитие внутреннего туризма, увеличение объема и скорости транзита грузов, цифровая трансформация отрасли и ускоренное внедрение новых </w:t>
      </w:r>
      <w:r>
        <w:rPr>
          <w:rFonts w:ascii="Times New Roman" w:hAnsi="Times New Roman"/>
          <w:color w:val="000000"/>
          <w:sz w:val="28"/>
        </w:rPr>
        <w:t>технологий.</w:t>
      </w:r>
    </w:p>
    <w:p w14:paraId="A604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A704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Физически</w:t>
      </w:r>
      <w:r>
        <w:rPr>
          <w:rFonts w:ascii="Times New Roman" w:hAnsi="Times New Roman"/>
          <w:color w:val="000000"/>
          <w:sz w:val="28"/>
        </w:rPr>
        <w:t>й и моральный износ парка общественного транспорта.</w:t>
      </w:r>
    </w:p>
    <w:p w14:paraId="A804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Недостаток квалифицированных специалистов в сфере пассажирских перевозок.</w:t>
      </w:r>
    </w:p>
    <w:p w14:paraId="A904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 Несоответствие существующей сети автомобильных дорог необходимым эксплуатационным показателям (нормативным требованиям).</w:t>
      </w:r>
    </w:p>
    <w:p w14:paraId="AA04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Низкий уровень цифровизации отрасли.</w:t>
      </w:r>
    </w:p>
    <w:p w14:paraId="AB04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В. Ключевые показатели </w:t>
      </w:r>
      <w:r>
        <w:rPr>
          <w:rFonts w:ascii="Times New Roman" w:hAnsi="Times New Roman"/>
          <w:color w:val="000000"/>
          <w:sz w:val="28"/>
        </w:rPr>
        <w:t xml:space="preserve">эффективности 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AC04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</w:t>
      </w:r>
      <w:r>
        <w:rPr>
          <w:rFonts w:ascii="Times New Roman" w:hAnsi="Times New Roman"/>
          <w:color w:val="000000"/>
          <w:sz w:val="28"/>
        </w:rPr>
        <w:t>дачи.</w:t>
      </w:r>
    </w:p>
    <w:p w14:paraId="AD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1. </w:t>
      </w:r>
      <w:r>
        <w:rPr>
          <w:rFonts w:ascii="Times New Roman" w:hAnsi="Times New Roman"/>
          <w:color w:val="000000"/>
          <w:sz w:val="28"/>
        </w:rPr>
        <w:t>Модернизация и о</w:t>
      </w:r>
      <w:r>
        <w:rPr>
          <w:rFonts w:ascii="Times New Roman" w:hAnsi="Times New Roman"/>
          <w:color w:val="000000"/>
          <w:sz w:val="28"/>
        </w:rPr>
        <w:t>бновление парка общественного транспорта:</w:t>
      </w:r>
    </w:p>
    <w:p w14:paraId="AE04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увеличение доли парка общественного транспорта, имеющего срок эксплуатации не старше нормативного, не менее чем до 85 процентов.</w:t>
      </w:r>
    </w:p>
    <w:p w14:paraId="AF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2.</w:t>
      </w:r>
      <w:r>
        <w:rPr>
          <w:rFonts w:ascii="Times New Roman" w:hAnsi="Times New Roman"/>
          <w:color w:val="CF543F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Повышение доли автомобильных дорог соответствующих нормативам:</w:t>
      </w:r>
    </w:p>
    <w:p w14:paraId="B004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</w:t>
      </w:r>
      <w:r>
        <w:rPr>
          <w:rFonts w:ascii="Times New Roman" w:hAnsi="Times New Roman"/>
          <w:color w:val="000000"/>
          <w:sz w:val="28"/>
        </w:rPr>
        <w:t>апитальный ремонт и ремонт автомобильных дорог местного</w:t>
      </w:r>
      <w:r>
        <w:rPr>
          <w:rFonts w:ascii="Times New Roman" w:hAnsi="Times New Roman"/>
          <w:color w:val="000000"/>
          <w:sz w:val="28"/>
        </w:rPr>
        <w:t xml:space="preserve"> значения.</w:t>
      </w:r>
    </w:p>
    <w:p w14:paraId="B104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B204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Повышение уровня безопасности транспортной системы.</w:t>
      </w:r>
    </w:p>
    <w:p w14:paraId="B304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Применение новых механизмов развития и эксплуатации дорожной сети, включая использование передовых технологий, инженерных решений и материалов.</w:t>
      </w:r>
    </w:p>
    <w:p w14:paraId="B404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3.</w:t>
      </w:r>
      <w:r>
        <w:rPr>
          <w:rFonts w:ascii="Times New Roman" w:hAnsi="Times New Roman"/>
          <w:sz w:val="28"/>
        </w:rPr>
        <w:t xml:space="preserve">Ремонт автомобильных дорог от дома № 1 по ул. Ворошилова до пересечения ул. Розы Люксембург с ул. </w:t>
      </w:r>
      <w:r>
        <w:rPr>
          <w:rFonts w:ascii="Times New Roman" w:hAnsi="Times New Roman"/>
          <w:sz w:val="28"/>
        </w:rPr>
        <w:t>Садчикова</w:t>
      </w:r>
      <w:r>
        <w:rPr>
          <w:rFonts w:ascii="Times New Roman" w:hAnsi="Times New Roman"/>
          <w:sz w:val="28"/>
        </w:rPr>
        <w:t xml:space="preserve">, от пересечения ул. </w:t>
      </w:r>
      <w:r>
        <w:rPr>
          <w:rFonts w:ascii="Times New Roman" w:hAnsi="Times New Roman"/>
          <w:sz w:val="28"/>
        </w:rPr>
        <w:t>Садчикова</w:t>
      </w:r>
      <w:r>
        <w:rPr>
          <w:rFonts w:ascii="Times New Roman" w:hAnsi="Times New Roman"/>
          <w:sz w:val="28"/>
        </w:rPr>
        <w:t xml:space="preserve"> с ул. Буланова до пересечения ул. Кирова с ул. Ленина, от пересечения ул. </w:t>
      </w:r>
      <w:r>
        <w:rPr>
          <w:rFonts w:ascii="Times New Roman" w:hAnsi="Times New Roman"/>
          <w:sz w:val="28"/>
        </w:rPr>
        <w:t>Ленина  с</w:t>
      </w:r>
      <w:r>
        <w:rPr>
          <w:rFonts w:ascii="Times New Roman" w:hAnsi="Times New Roman"/>
          <w:sz w:val="28"/>
        </w:rPr>
        <w:t xml:space="preserve"> ул. Кирова до дома № 26 по ул. Кирова в ст. Обливской Ростовской области  – 34,860 млн. рублей.</w:t>
      </w:r>
    </w:p>
    <w:p w14:paraId="B5040000">
      <w:bookmarkStart w:id="39" w:name="__RefHeading___39"/>
      <w:bookmarkEnd w:id="39"/>
      <w:pPr>
        <w:pStyle w:val="Style_8"/>
      </w:pPr>
      <w:r>
        <w:t>4.3.4. Инженерно-энергетическая инфраструктура</w:t>
      </w:r>
    </w:p>
    <w:p w14:paraId="B6040000">
      <w:pPr>
        <w:pStyle w:val="Style_9"/>
      </w:pPr>
    </w:p>
    <w:p w14:paraId="B704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обеспечение Обливского района ст</w:t>
      </w:r>
      <w:r>
        <w:rPr>
          <w:rFonts w:ascii="Times New Roman" w:hAnsi="Times New Roman"/>
          <w:color w:val="000000"/>
          <w:sz w:val="28"/>
        </w:rPr>
        <w:t xml:space="preserve">абильным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надежным электро- и газоснабжением с учетом дальнейшего социально-экономического развития района.</w:t>
      </w:r>
    </w:p>
    <w:p w14:paraId="B804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B9040000">
      <w:pPr>
        <w:widowControl w:val="0"/>
        <w:tabs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Недостаточность пропускной способности на объектах магистрального транспорта (источниках газоснабжения) для подключения н</w:t>
      </w:r>
      <w:r>
        <w:rPr>
          <w:rFonts w:ascii="Times New Roman" w:hAnsi="Times New Roman"/>
          <w:color w:val="000000"/>
          <w:sz w:val="28"/>
        </w:rPr>
        <w:t>овых потребителей.</w:t>
      </w:r>
    </w:p>
    <w:p w14:paraId="BA04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Недостаточная надежность объектов электроснабжения, высокая загруженность пропускной способности сети, дефицит свободных мощностей, низкий уровень освещенности улично-дорожной сети.</w:t>
      </w:r>
    </w:p>
    <w:p w14:paraId="BB04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 Недостаточный уровень внедрения программ энергосбережения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повышения энергетической эффективности в государственных учреждениях, многоквартирных домах, организаций коммунального комплекса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на промышленных пред</w:t>
      </w:r>
      <w:r>
        <w:rPr>
          <w:rFonts w:ascii="Times New Roman" w:hAnsi="Times New Roman"/>
          <w:color w:val="000000"/>
          <w:sz w:val="28"/>
        </w:rPr>
        <w:t>приятиях.</w:t>
      </w:r>
    </w:p>
    <w:p w14:paraId="BC040000">
      <w:pPr>
        <w:widowControl w:val="0"/>
        <w:tabs>
          <w:tab w:leader="none" w:pos="993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 Недостаточное количество генерирующих объектов, функционирующих на основе использования возобновляемых источников энергии.</w:t>
      </w:r>
    </w:p>
    <w:p w14:paraId="BD04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 Рост нагрузки на энергосистему, территориальная неравномерность </w:t>
      </w:r>
      <w:r>
        <w:rPr>
          <w:rFonts w:ascii="Times New Roman" w:hAnsi="Times New Roman"/>
          <w:color w:val="000000"/>
          <w:sz w:val="28"/>
        </w:rPr>
        <w:t>развития энергетической инфраструктуры.</w:t>
      </w:r>
    </w:p>
    <w:p w14:paraId="BE04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В. Ключевые показатели </w:t>
      </w:r>
      <w:r>
        <w:rPr>
          <w:rFonts w:ascii="Times New Roman" w:hAnsi="Times New Roman"/>
          <w:color w:val="000000"/>
          <w:sz w:val="28"/>
        </w:rPr>
        <w:t xml:space="preserve">эффективности 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BF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</w:t>
      </w:r>
      <w:r>
        <w:rPr>
          <w:rFonts w:ascii="Times New Roman" w:hAnsi="Times New Roman"/>
          <w:color w:val="000000"/>
          <w:sz w:val="28"/>
        </w:rPr>
        <w:t>дачи.</w:t>
      </w:r>
    </w:p>
    <w:p w14:paraId="C0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 Повышение доступности природного газа и электроэнергии для населения и организаций на всей территории Обливского района:</w:t>
      </w:r>
    </w:p>
    <w:p w14:paraId="C104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проектирование и строительство распределительных газопроводов в ранее газифицированных и вновь газифицируемых населенных пунктах;</w:t>
      </w:r>
    </w:p>
    <w:p w14:paraId="C204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социальная поддержка по оплате расходов на газификацию.</w:t>
      </w:r>
    </w:p>
    <w:p w14:paraId="C3040000">
      <w:pPr>
        <w:widowControl w:val="0"/>
        <w:spacing w:after="0" w:line="216" w:lineRule="auto"/>
        <w:ind w:firstLine="68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2. Увеличение количества реализуемых </w:t>
      </w:r>
      <w:r>
        <w:rPr>
          <w:rFonts w:ascii="Times New Roman" w:hAnsi="Times New Roman"/>
          <w:color w:val="000000"/>
          <w:sz w:val="28"/>
        </w:rPr>
        <w:t>энергоэффективных</w:t>
      </w:r>
      <w:r>
        <w:rPr>
          <w:rFonts w:ascii="Times New Roman" w:hAnsi="Times New Roman"/>
          <w:color w:val="000000"/>
          <w:sz w:val="28"/>
        </w:rPr>
        <w:t xml:space="preserve"> мероприятий в рамках программ энергосбережения в государственных учреждениях, в многоквартирном жилищном фонде, в организациях коммунального комплекса и на промышленных предприятиях:</w:t>
      </w:r>
    </w:p>
    <w:p w14:paraId="C4040000">
      <w:pPr>
        <w:widowControl w:val="0"/>
        <w:tabs>
          <w:tab w:leader="none" w:pos="993" w:val="left"/>
          <w:tab w:leader="none" w:pos="1134" w:val="left"/>
        </w:tabs>
        <w:spacing w:after="0" w:line="216" w:lineRule="auto"/>
        <w:ind w:firstLine="68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проектирование, установка / замена приборов учета потребляемых </w:t>
      </w:r>
      <w:r>
        <w:rPr>
          <w:rFonts w:ascii="Times New Roman" w:hAnsi="Times New Roman"/>
          <w:color w:val="000000"/>
          <w:sz w:val="28"/>
        </w:rPr>
        <w:t>энергоресурсов и воды в государственных и муниципальных учреждениях;</w:t>
      </w:r>
    </w:p>
    <w:p w14:paraId="C5040000">
      <w:pPr>
        <w:widowControl w:val="0"/>
        <w:tabs>
          <w:tab w:leader="none" w:pos="993" w:val="left"/>
          <w:tab w:leader="none" w:pos="1134" w:val="left"/>
        </w:tabs>
        <w:spacing w:after="0" w:line="216" w:lineRule="auto"/>
        <w:ind w:firstLine="68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приобретение энергосберегающего оборудования и материалов в государственных и муниципальных учреждениях;</w:t>
      </w:r>
    </w:p>
    <w:p w14:paraId="C604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68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установка / замена коллективных (общедомовых) приборов учета потребляемых энергоресурсов и воды в многоквартирном жилищном фонде;</w:t>
      </w:r>
    </w:p>
    <w:p w14:paraId="C704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68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информационной поддержки политики энергосбережения в жилищной сфере;</w:t>
      </w:r>
    </w:p>
    <w:p w14:paraId="C804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680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реализация мероприятий программ энергосбережения и повышения энергетической эффективности организациями коммунального комплекса;</w:t>
      </w:r>
    </w:p>
    <w:p w14:paraId="C904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CA04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Привлечение дополнительных инвестиций на реконструкцию и модернизацию объектов газ</w:t>
      </w:r>
      <w:r>
        <w:rPr>
          <w:rFonts w:ascii="Times New Roman" w:hAnsi="Times New Roman"/>
          <w:color w:val="000000"/>
          <w:sz w:val="28"/>
        </w:rPr>
        <w:t>о-</w:t>
      </w:r>
      <w:r>
        <w:rPr>
          <w:rFonts w:ascii="Times New Roman" w:hAnsi="Times New Roman"/>
          <w:color w:val="000000"/>
          <w:sz w:val="28"/>
        </w:rPr>
        <w:t xml:space="preserve"> и электросетевого хозяйства.</w:t>
      </w:r>
    </w:p>
    <w:p w14:paraId="CB04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Рассмотрение территорий для размещения инвесторов с наличием свободных мощностей и технической возможности присоединения.</w:t>
      </w:r>
    </w:p>
    <w:p w14:paraId="CC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 Строительство, реконструкция, техническое перевооружение объектов газотранспортной системы.</w:t>
      </w:r>
    </w:p>
    <w:p w14:paraId="CD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 Модернизация линий электропередач в населенных пунктах и за их пределами.</w:t>
      </w:r>
    </w:p>
    <w:p w14:paraId="CE040000">
      <w:pPr>
        <w:pStyle w:val="Style_6"/>
      </w:pPr>
    </w:p>
    <w:p w14:paraId="CF040000">
      <w:bookmarkStart w:id="40" w:name="__RefHeading___40"/>
      <w:bookmarkEnd w:id="40"/>
      <w:pPr>
        <w:pStyle w:val="Style_6"/>
      </w:pPr>
      <w:r>
        <w:t>4.4. Экологическое благополучие в Обливском районе</w:t>
      </w:r>
    </w:p>
    <w:p w14:paraId="D0040000">
      <w:pPr>
        <w:widowControl w:val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реализации национальной цели: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4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4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показателей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4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4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40000">
            <w:pPr>
              <w:widowControl w:val="0"/>
              <w:tabs>
                <w:tab w:leader="none" w:pos="426" w:val="left"/>
              </w:tabs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</w:tr>
    </w:tbl>
    <w:p w14:paraId="D6040000">
      <w:pPr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rPr>
          <w:trHeight w:hRule="atLeast" w:val="44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rPr>
          <w:trHeight w:hRule="atLeast" w:val="44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ликвидированных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свалочных очагов по </w:t>
            </w:r>
          </w:p>
          <w:p w14:paraId="DE040000">
            <w:pPr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отношению к выявленным </w:t>
            </w:r>
            <w:r>
              <w:rPr>
                <w:rFonts w:ascii="Times New Roman" w:hAnsi="Times New Roman"/>
                <w:color w:val="000000"/>
                <w:sz w:val="24"/>
              </w:rPr>
              <w:t>случаям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80%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80%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>
        <w:trPr>
          <w:trHeight w:hRule="atLeast" w:val="44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Доля населения, </w:t>
            </w:r>
            <w:r>
              <w:rPr>
                <w:rFonts w:ascii="Times New Roman" w:hAnsi="Times New Roman"/>
                <w:sz w:val="24"/>
              </w:rPr>
              <w:t xml:space="preserve">вовлеченного в мероприятия </w:t>
            </w:r>
          </w:p>
          <w:p w14:paraId="E404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экологическому </w:t>
            </w:r>
            <w:r>
              <w:rPr>
                <w:rFonts w:ascii="Times New Roman" w:hAnsi="Times New Roman"/>
                <w:sz w:val="24"/>
              </w:rPr>
              <w:t>просвещению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80%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80%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100%</w:t>
            </w:r>
          </w:p>
        </w:tc>
      </w:tr>
      <w:tr>
        <w:trPr>
          <w:trHeight w:hRule="atLeast" w:val="448"/>
        </w:trP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закупленных контейнеров для накопления твердых коммунальных отходов</w:t>
            </w:r>
            <w:r>
              <w:rPr>
                <w:rFonts w:ascii="Times New Roman" w:hAnsi="Times New Roman"/>
                <w:sz w:val="24"/>
              </w:rPr>
              <w:t xml:space="preserve"> (единиц)*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40000">
            <w:pPr>
              <w:widowControl w:val="0"/>
              <w:tabs>
                <w:tab w:leader="none" w:pos="426" w:val="left"/>
              </w:tabs>
              <w:spacing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</w:tbl>
    <w:p w14:paraId="ED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(*Данный показатель введен в муниципальном проекте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«Ликвидация объектов накопленного вреда на территории муниципальных образований </w:t>
      </w:r>
      <w:r>
        <w:rPr>
          <w:rFonts w:ascii="Times New Roman" w:hAnsi="Times New Roman"/>
        </w:rPr>
        <w:t>Ростовс</w:t>
      </w:r>
      <w:r>
        <w:rPr>
          <w:rFonts w:ascii="Times New Roman" w:hAnsi="Times New Roman"/>
        </w:rPr>
        <w:t>кой области»</w:t>
      </w:r>
      <w:r>
        <w:rPr>
          <w:rFonts w:ascii="Times New Roman" w:hAnsi="Times New Roman"/>
        </w:rPr>
        <w:t>, реализация которого начата с января 2025 года. Плановые значения до 2030 находятся на согласовании)</w:t>
      </w:r>
      <w:r>
        <w:rPr>
          <w:sz w:val="28"/>
        </w:rPr>
        <w:t xml:space="preserve"> </w:t>
      </w:r>
    </w:p>
    <w:p w14:paraId="EE040000">
      <w:bookmarkStart w:id="41" w:name="__RefHeading___41"/>
      <w:bookmarkEnd w:id="41"/>
      <w:pPr>
        <w:pStyle w:val="Style_8"/>
      </w:pPr>
      <w:r>
        <w:t>4.4.1. Экология</w:t>
      </w:r>
    </w:p>
    <w:p w14:paraId="EF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А. Стратегическая цель – </w:t>
      </w:r>
      <w:r>
        <w:rPr>
          <w:rFonts w:ascii="Times New Roman" w:hAnsi="Times New Roman"/>
          <w:sz w:val="28"/>
        </w:rPr>
        <w:t xml:space="preserve">снижение уровня негативного антропогенного воздействия на окружающую среду на территории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района.</w:t>
      </w:r>
    </w:p>
    <w:p w14:paraId="F0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Б. Ключевые проблемы:</w:t>
      </w:r>
    </w:p>
    <w:p w14:paraId="F1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Периодическое образование стихийных свалочных очагов на территории района.</w:t>
      </w:r>
    </w:p>
    <w:p w14:paraId="F2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 Недостаточная экологическая культура обращения с отходами среди части населения</w:t>
      </w:r>
    </w:p>
    <w:p w14:paraId="F3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Напряженная</w:t>
      </w:r>
      <w:r>
        <w:rPr>
          <w:rFonts w:ascii="Times New Roman" w:hAnsi="Times New Roman"/>
          <w:sz w:val="28"/>
        </w:rPr>
        <w:t xml:space="preserve"> водохозяйственная обстановка р. Чир и ее притоков</w:t>
      </w:r>
    </w:p>
    <w:p w14:paraId="F4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Недостаточное</w:t>
      </w:r>
      <w:r>
        <w:rPr>
          <w:rFonts w:ascii="Times New Roman" w:hAnsi="Times New Roman"/>
          <w:sz w:val="28"/>
        </w:rPr>
        <w:t xml:space="preserve"> обустройство мест (площадок) накопления (в том числе раздельного накопления) твердых коммунальных отходов и бункеров для накопления твердых коммунальных отходов</w:t>
      </w:r>
      <w:r>
        <w:rPr>
          <w:rFonts w:ascii="Times New Roman" w:hAnsi="Times New Roman"/>
          <w:sz w:val="28"/>
        </w:rPr>
        <w:t xml:space="preserve"> и/или крупногабаритных отходов.</w:t>
      </w:r>
    </w:p>
    <w:p w14:paraId="F5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sz w:val="28"/>
        </w:rPr>
        <w:t xml:space="preserve">В. Ключевые показатели эффективности представлены </w:t>
      </w:r>
      <w:r>
        <w:rPr>
          <w:rFonts w:ascii="Times New Roman" w:hAnsi="Times New Roman"/>
          <w:color w:val="000000"/>
          <w:sz w:val="28"/>
        </w:rPr>
        <w:t xml:space="preserve"> приложение № 8</w:t>
      </w:r>
      <w:r>
        <w:rPr>
          <w:rFonts w:ascii="Times New Roman" w:hAnsi="Times New Roman"/>
          <w:color w:val="CF543F"/>
          <w:sz w:val="28"/>
        </w:rPr>
        <w:br/>
      </w:r>
      <w:r>
        <w:rPr>
          <w:rFonts w:ascii="Times New Roman" w:hAnsi="Times New Roman"/>
          <w:color w:val="CF543F"/>
          <w:sz w:val="28"/>
        </w:rPr>
        <w:t xml:space="preserve">        </w:t>
      </w:r>
      <w:r>
        <w:rPr>
          <w:rFonts w:ascii="Times New Roman" w:hAnsi="Times New Roman"/>
          <w:sz w:val="28"/>
        </w:rPr>
        <w:t xml:space="preserve"> Г. Приоритетные задачи.</w:t>
      </w:r>
    </w:p>
    <w:p w14:paraId="F6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</w:t>
      </w:r>
      <w:r>
        <w:rPr>
          <w:rFonts w:ascii="Times New Roman" w:hAnsi="Times New Roman"/>
          <w:sz w:val="28"/>
        </w:rPr>
        <w:t xml:space="preserve">ормирование комплексной системы обращения с твердыми коммунальными отходами </w:t>
      </w:r>
      <w:r>
        <w:rPr>
          <w:rFonts w:ascii="Times New Roman" w:hAnsi="Times New Roman"/>
          <w:sz w:val="28"/>
        </w:rPr>
        <w:t xml:space="preserve">на территории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района:</w:t>
      </w:r>
    </w:p>
    <w:p w14:paraId="F7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качестве способа решения данной задачи</w:t>
      </w:r>
      <w:r>
        <w:rPr>
          <w:rFonts w:ascii="Times New Roman" w:hAnsi="Times New Roman"/>
          <w:sz w:val="28"/>
        </w:rPr>
        <w:t>:</w:t>
      </w:r>
    </w:p>
    <w:p w14:paraId="F8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ликвидация не</w:t>
      </w:r>
      <w:r>
        <w:rPr>
          <w:rFonts w:ascii="Times New Roman" w:hAnsi="Times New Roman"/>
          <w:sz w:val="28"/>
        </w:rPr>
        <w:t>санкционированных свалок до 100</w:t>
      </w:r>
      <w:r>
        <w:rPr>
          <w:rFonts w:ascii="Times New Roman" w:hAnsi="Times New Roman"/>
          <w:sz w:val="28"/>
        </w:rPr>
        <w:t>% к 2030 году;</w:t>
      </w:r>
      <w:r>
        <w:rPr>
          <w:rFonts w:ascii="Times New Roman" w:hAnsi="Times New Roman"/>
          <w:sz w:val="28"/>
        </w:rPr>
        <w:t xml:space="preserve"> </w:t>
      </w:r>
    </w:p>
    <w:p w14:paraId="F9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обустройст</w:t>
      </w:r>
      <w:r>
        <w:rPr>
          <w:rFonts w:ascii="Times New Roman" w:hAnsi="Times New Roman"/>
          <w:sz w:val="28"/>
        </w:rPr>
        <w:t>во</w:t>
      </w:r>
      <w:r>
        <w:rPr>
          <w:rFonts w:ascii="Times New Roman" w:hAnsi="Times New Roman"/>
          <w:sz w:val="28"/>
        </w:rPr>
        <w:t xml:space="preserve"> (создания) мест (площадок) накопления (в том числе раздельного накопления) твердых коммунальных отходов в границах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района. </w:t>
      </w:r>
    </w:p>
    <w:p w14:paraId="FA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2. </w:t>
      </w:r>
      <w:r>
        <w:rPr>
          <w:rFonts w:ascii="Times New Roman" w:hAnsi="Times New Roman"/>
          <w:sz w:val="28"/>
        </w:rPr>
        <w:t>Повышения экологической культуры населения:</w:t>
      </w:r>
    </w:p>
    <w:p w14:paraId="FB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в области окр</w:t>
      </w:r>
      <w:r>
        <w:rPr>
          <w:rFonts w:ascii="Times New Roman" w:hAnsi="Times New Roman"/>
          <w:sz w:val="28"/>
        </w:rPr>
        <w:t>ужающей среды и водных ресурсов,</w:t>
      </w:r>
    </w:p>
    <w:p w14:paraId="FC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вовлечение населения, в том числе бизнес-сообщества, общественных объединений, волонтерских движений в практическую природоохранную деятельность;</w:t>
      </w:r>
    </w:p>
    <w:p w14:paraId="FD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обеспечение населения объективной информацией о состоянии окружающей </w:t>
      </w:r>
      <w:r>
        <w:rPr>
          <w:rFonts w:ascii="Times New Roman" w:hAnsi="Times New Roman"/>
          <w:sz w:val="28"/>
        </w:rPr>
        <w:t>среды</w:t>
      </w:r>
      <w:r>
        <w:rPr>
          <w:rFonts w:ascii="Times New Roman" w:hAnsi="Times New Roman"/>
          <w:sz w:val="28"/>
        </w:rPr>
        <w:t>.</w:t>
      </w:r>
    </w:p>
    <w:p w14:paraId="FE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3. </w:t>
      </w:r>
      <w:r>
        <w:rPr>
          <w:rFonts w:ascii="Times New Roman" w:hAnsi="Times New Roman"/>
          <w:sz w:val="28"/>
        </w:rPr>
        <w:t>Расходы на обустройство (создание) мест (площадок) накопления (в том числе раздельного накопления) твердых коммунальных отходов и приобретение контейнеров и/или бункеров для накопления твердых коммунальных отходов и/или крупногабаритных отходов</w:t>
      </w:r>
      <w:r>
        <w:rPr>
          <w:rFonts w:ascii="Times New Roman" w:hAnsi="Times New Roman"/>
          <w:sz w:val="28"/>
        </w:rPr>
        <w:t>:</w:t>
      </w:r>
    </w:p>
    <w:p w14:paraId="FF04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закупка</w:t>
      </w:r>
      <w:r>
        <w:rPr>
          <w:rFonts w:ascii="Times New Roman" w:hAnsi="Times New Roman"/>
          <w:sz w:val="28"/>
        </w:rPr>
        <w:t xml:space="preserve"> контейнеров для</w:t>
      </w:r>
      <w:r>
        <w:rPr>
          <w:rFonts w:ascii="Times New Roman" w:hAnsi="Times New Roman"/>
          <w:sz w:val="28"/>
        </w:rPr>
        <w:t xml:space="preserve"> создания и обустройства мест</w:t>
      </w:r>
      <w:r>
        <w:rPr>
          <w:rFonts w:ascii="Times New Roman" w:hAnsi="Times New Roman"/>
          <w:sz w:val="28"/>
        </w:rPr>
        <w:t xml:space="preserve"> накопления твердых коммунальных отходов</w:t>
      </w:r>
    </w:p>
    <w:p w14:paraId="00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Д. Стратегические проектные инициативы:</w:t>
      </w:r>
    </w:p>
    <w:p w14:paraId="0105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</w:t>
      </w:r>
      <w:r>
        <w:rPr>
          <w:rFonts w:ascii="Times New Roman" w:hAnsi="Times New Roman"/>
          <w:sz w:val="28"/>
        </w:rPr>
        <w:t xml:space="preserve">Участие учащихся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в областных фестивалях, слетах.</w:t>
      </w:r>
    </w:p>
    <w:p w14:paraId="0205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Создание способа мониторинга и оперативное устранения стихийных свалочных очагов.</w:t>
      </w:r>
    </w:p>
    <w:p w14:paraId="0305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Рекультивация старого полигона ТБО.</w:t>
      </w:r>
    </w:p>
    <w:p w14:paraId="04050000">
      <w:bookmarkStart w:id="42" w:name="__RefHeading___42"/>
      <w:bookmarkEnd w:id="42"/>
      <w:pPr>
        <w:pStyle w:val="Style_8"/>
      </w:pPr>
      <w:r>
        <w:t>4.4.2. Безопасность общества</w:t>
      </w:r>
    </w:p>
    <w:p w14:paraId="05050000">
      <w:pPr>
        <w:pStyle w:val="Style_9"/>
      </w:pPr>
    </w:p>
    <w:p w14:paraId="06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созда</w:t>
      </w:r>
      <w:r>
        <w:rPr>
          <w:rFonts w:ascii="Times New Roman" w:hAnsi="Times New Roman"/>
          <w:color w:val="000000"/>
          <w:sz w:val="28"/>
        </w:rPr>
        <w:t>ние комплексной, технологически оснащенной системы безопасности района, обеспечивающей оперативное оповещение о возникновении, предотвращение формирования или дальнейшего развития пожаров, а также реализующей меры по защите населения в случае возникновени</w:t>
      </w:r>
      <w:r>
        <w:rPr>
          <w:rFonts w:ascii="Times New Roman" w:hAnsi="Times New Roman"/>
          <w:color w:val="000000"/>
          <w:sz w:val="28"/>
        </w:rPr>
        <w:t>я чрезвычайных ситуаций, с единовременным развитием механизмов поддержки пострадавших от природных и техногенных катастроф, развитие механизмов поддержки пострадавших от природных и техногенных катастроф.</w:t>
      </w:r>
    </w:p>
    <w:p w14:paraId="07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08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</w:t>
      </w:r>
      <w:r>
        <w:rPr>
          <w:rFonts w:ascii="Times New Roman" w:hAnsi="Times New Roman"/>
          <w:color w:val="000000"/>
          <w:sz w:val="28"/>
        </w:rPr>
        <w:t xml:space="preserve"> Риски возникновения чрезвычайных ситуаций природного, техногенного и биолого-социального характера на территории Обливского района.</w:t>
      </w:r>
    </w:p>
    <w:p w14:paraId="09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 Значительное распространение наркомании. Остается значительным число наркопреступлений. </w:t>
      </w:r>
    </w:p>
    <w:p w14:paraId="0A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 Сложные социально-экономические условия. Сохраняется достаточно высокая доля населения с доходами ниже границ бедности.</w:t>
      </w:r>
      <w:r>
        <w:rPr>
          <w:rFonts w:ascii="Times New Roman" w:hAnsi="Times New Roman"/>
          <w:color w:val="000000"/>
          <w:sz w:val="28"/>
        </w:rPr>
        <w:t xml:space="preserve"> Сложное материальное положение достаточно часто является причиной для противоправных действий.</w:t>
      </w:r>
    </w:p>
    <w:p w14:paraId="0B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 Значительное число преступлений, совершенных в сфере компьютерных и телекоммуникаци</w:t>
      </w:r>
      <w:r>
        <w:rPr>
          <w:rFonts w:ascii="Times New Roman" w:hAnsi="Times New Roman"/>
          <w:color w:val="000000"/>
          <w:sz w:val="28"/>
        </w:rPr>
        <w:t xml:space="preserve">онных технологий. </w:t>
      </w:r>
    </w:p>
    <w:p w14:paraId="0C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В. Ключевые показатели эффективности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приложении № 8.</w:t>
      </w:r>
    </w:p>
    <w:p w14:paraId="0D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</w:t>
      </w:r>
      <w:r>
        <w:rPr>
          <w:rFonts w:ascii="Times New Roman" w:hAnsi="Times New Roman"/>
          <w:color w:val="000000"/>
          <w:sz w:val="28"/>
        </w:rPr>
        <w:t>дачи.</w:t>
      </w:r>
    </w:p>
    <w:p w14:paraId="0E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 И</w:t>
      </w:r>
      <w:r>
        <w:rPr>
          <w:rFonts w:ascii="Times New Roman" w:hAnsi="Times New Roman"/>
          <w:color w:val="000000"/>
          <w:sz w:val="28"/>
        </w:rPr>
        <w:t xml:space="preserve">нформационно-пропагандистское противодействие экстремизму </w:t>
      </w:r>
      <w:r>
        <w:rPr>
          <w:rFonts w:ascii="Times New Roman" w:hAnsi="Times New Roman"/>
          <w:color w:val="000000"/>
          <w:sz w:val="28"/>
        </w:rPr>
        <w:t>и терроризму:</w:t>
      </w:r>
    </w:p>
    <w:p w14:paraId="0F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производство и размещение социальной рекламы, направленной </w:t>
      </w:r>
      <w:r>
        <w:rPr>
          <w:rFonts w:ascii="Times New Roman" w:hAnsi="Times New Roman"/>
          <w:color w:val="000000"/>
          <w:sz w:val="28"/>
        </w:rPr>
        <w:t>на противодействие экстр</w:t>
      </w:r>
      <w:r>
        <w:rPr>
          <w:rFonts w:ascii="Times New Roman" w:hAnsi="Times New Roman"/>
          <w:color w:val="000000"/>
          <w:sz w:val="28"/>
        </w:rPr>
        <w:t>емизму и идеологии терроризма.</w:t>
      </w:r>
    </w:p>
    <w:p w14:paraId="10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2. Воспитание гражданской ответственности и толерантности, противодействие любым проявлениям экстремизма и ксенофобии:</w:t>
      </w:r>
    </w:p>
    <w:p w14:paraId="1105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патриотического и гражданского воспитания в медиапространстве; </w:t>
      </w:r>
    </w:p>
    <w:p w14:paraId="1205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повышение межкультурной грамотности и профилактика экстремизма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в молодежной среде. </w:t>
      </w:r>
    </w:p>
    <w:p w14:paraId="13050000">
      <w:pPr>
        <w:widowControl w:val="0"/>
        <w:spacing w:after="0" w:before="0" w:line="21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3. Достижение и поддержание необходимого уровня защищенности населения Обливского района от угроз криминального характера:</w:t>
      </w:r>
    </w:p>
    <w:p w14:paraId="14050000">
      <w:pPr>
        <w:widowControl w:val="0"/>
        <w:tabs>
          <w:tab w:leader="none" w:pos="993" w:val="left"/>
          <w:tab w:leader="none" w:pos="1134" w:val="left"/>
        </w:tabs>
        <w:spacing w:after="0" w:before="0" w:line="216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профилактика правонарушений среди несовершеннолетних и молодежи; </w:t>
      </w:r>
    </w:p>
    <w:p w14:paraId="1505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расширение правового просвещения и профилактики наркозависимости</w:t>
      </w:r>
      <w:r>
        <w:rPr>
          <w:rFonts w:ascii="Times New Roman" w:hAnsi="Times New Roman"/>
          <w:color w:val="000000"/>
          <w:sz w:val="28"/>
        </w:rPr>
        <w:t xml:space="preserve"> среди населения.</w:t>
      </w:r>
    </w:p>
    <w:p w14:paraId="16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4. Обеспечение </w:t>
      </w:r>
      <w:r>
        <w:rPr>
          <w:rFonts w:ascii="Times New Roman" w:hAnsi="Times New Roman"/>
          <w:color w:val="000000"/>
          <w:sz w:val="28"/>
        </w:rPr>
        <w:t xml:space="preserve">и развитие гражданской обороны, защиты </w:t>
      </w:r>
      <w:r>
        <w:rPr>
          <w:rFonts w:ascii="Times New Roman" w:hAnsi="Times New Roman"/>
          <w:color w:val="000000"/>
          <w:sz w:val="28"/>
        </w:rPr>
        <w:t>населения и территории Обливского района от чрезвычайных ситуаций, пожарной безопасности и безопасности людей на водных объектах:</w:t>
      </w:r>
    </w:p>
    <w:p w14:paraId="17050000">
      <w:pPr>
        <w:widowControl w:val="0"/>
        <w:tabs>
          <w:tab w:leader="none" w:pos="993" w:val="left"/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постоянное</w:t>
      </w:r>
      <w:r>
        <w:rPr>
          <w:rFonts w:ascii="Times New Roman" w:hAnsi="Times New Roman"/>
          <w:color w:val="000000"/>
          <w:sz w:val="28"/>
        </w:rPr>
        <w:t xml:space="preserve"> поддержание в готовности системы обеспечения вызова экстренных оперативных служб по единому номеру «112»;</w:t>
      </w:r>
    </w:p>
    <w:p w14:paraId="18050000">
      <w:pPr>
        <w:widowControl w:val="0"/>
        <w:tabs>
          <w:tab w:leader="none" w:pos="993" w:val="left"/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организация подготовки населения способам защиты и действиям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чрезвычайных ситуациях.</w:t>
      </w:r>
    </w:p>
    <w:p w14:paraId="1905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5. Повышение эффективности и результативности мер, направленных на противоде</w:t>
      </w:r>
      <w:r>
        <w:rPr>
          <w:rFonts w:ascii="Times New Roman" w:hAnsi="Times New Roman"/>
          <w:color w:val="000000"/>
          <w:sz w:val="28"/>
        </w:rPr>
        <w:t xml:space="preserve">йствие преступлениям, совершенным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с использованием информационно-телекоммуникационных технологий, в том числе краж чужого имущества и мошенничества:</w:t>
      </w:r>
    </w:p>
    <w:p w14:paraId="1A050000">
      <w:pPr>
        <w:widowControl w:val="0"/>
        <w:tabs>
          <w:tab w:leader="none" w:pos="993" w:val="left"/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проведение работы по информированию населения о схемах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способах, используемых при совершении преступлений с применением современных средств коммуникации и связи, по разъяснению о способах защиты и противостояния</w:t>
      </w:r>
      <w:r>
        <w:rPr>
          <w:rFonts w:ascii="Times New Roman" w:hAnsi="Times New Roman"/>
          <w:color w:val="000000"/>
          <w:sz w:val="28"/>
        </w:rPr>
        <w:t xml:space="preserve"> указанным противоправным действиям.</w:t>
      </w:r>
    </w:p>
    <w:p w14:paraId="1B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1C05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Развитие, о</w:t>
      </w:r>
      <w:r>
        <w:rPr>
          <w:rFonts w:ascii="Times New Roman" w:hAnsi="Times New Roman"/>
          <w:color w:val="000000"/>
          <w:sz w:val="28"/>
        </w:rPr>
        <w:t>беспечение и поддержание в постоянной готовности камер видеонаблюдения и оборудования аппаратно-программного комплекса «Безопасный город» на территории  Обливского района.</w:t>
      </w:r>
    </w:p>
    <w:p w14:paraId="1D050000">
      <w:pPr>
        <w:widowControl w:val="0"/>
        <w:tabs>
          <w:tab w:leader="none" w:pos="426" w:val="left"/>
          <w:tab w:leader="none" w:pos="1276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Обеспечение наполнения информационного пространства актуальной информацией, контрпропагандистскими и иными (текстовыми, графическими, аудио и видео) материалами, формирующими неприятие идеологии терроризма (ант</w:t>
      </w:r>
      <w:r>
        <w:rPr>
          <w:rFonts w:ascii="Times New Roman" w:hAnsi="Times New Roman"/>
          <w:color w:val="000000"/>
          <w:sz w:val="28"/>
        </w:rPr>
        <w:t>итеррористический контент).</w:t>
      </w:r>
    </w:p>
    <w:p w14:paraId="1E050000">
      <w:pPr>
        <w:widowControl w:val="0"/>
        <w:tabs>
          <w:tab w:leader="none" w:pos="426" w:val="left"/>
          <w:tab w:leader="none" w:pos="1276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 Обеспечение и поддержание в постоянной готовности системы оповещения и информирования населения Обливского района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при возникновении угроз, опасностей и чрезвычайных ситуаций.</w:t>
      </w:r>
    </w:p>
    <w:p w14:paraId="1F050000">
      <w:pPr>
        <w:pStyle w:val="Style_7"/>
        <w:widowControl w:val="0"/>
        <w:spacing w:after="0" w:before="0" w:line="240" w:lineRule="auto"/>
        <w:ind w:firstLine="0" w:left="0"/>
        <w:jc w:val="center"/>
        <w:rPr>
          <w:rFonts w:ascii="Times New Roman" w:hAnsi="Times New Roman"/>
          <w:b w:val="0"/>
          <w:color w:val="CF543F"/>
          <w:sz w:val="28"/>
        </w:rPr>
      </w:pPr>
    </w:p>
    <w:p w14:paraId="20050000">
      <w:bookmarkStart w:id="43" w:name="__RefHeading___43"/>
      <w:bookmarkEnd w:id="43"/>
      <w:pPr>
        <w:pStyle w:val="Style_6"/>
      </w:pPr>
      <w:r>
        <w:t>4.5. Устойчивая и динамичная экономика в Обливском районе</w:t>
      </w:r>
    </w:p>
    <w:p w14:paraId="21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реализации национальной цели:</w:t>
      </w:r>
    </w:p>
    <w:p w14:paraId="22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показателей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</w:tr>
    </w:tbl>
    <w:p w14:paraId="28050000">
      <w:pPr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Темп роста дохода на одного работника субъекта малого и среднего предпринимательства к 2024 году (процентов)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107,9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111,3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5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128,1</w:t>
            </w:r>
          </w:p>
        </w:tc>
      </w:tr>
    </w:tbl>
    <w:p w14:paraId="33050000">
      <w:pPr>
        <w:pStyle w:val="Style_9"/>
      </w:pPr>
    </w:p>
    <w:p w14:paraId="34050000">
      <w:bookmarkStart w:id="44" w:name="__RefHeading___44"/>
      <w:bookmarkEnd w:id="44"/>
      <w:pPr>
        <w:pStyle w:val="Style_8"/>
        <w:spacing w:line="240" w:lineRule="auto"/>
        <w:ind/>
      </w:pPr>
      <w:r>
        <w:t>4.5.1. Малый и средний бизнес</w:t>
      </w:r>
    </w:p>
    <w:p w14:paraId="35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содействие развитию малого и среднего бизнеса через формирование благоприятных условий для предпринимательской</w:t>
      </w:r>
      <w:r>
        <w:rPr>
          <w:rFonts w:ascii="Times New Roman" w:hAnsi="Times New Roman"/>
          <w:color w:val="000000"/>
          <w:sz w:val="28"/>
        </w:rPr>
        <w:t xml:space="preserve"> деятельности, диверсификация отраслевой структуры экономики области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за счет совершенствования действующих инструментов и внедрения новых мер государственной поддержки.</w:t>
      </w:r>
    </w:p>
    <w:p w14:paraId="36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37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Дефицит финансовых ресурсов для открытия собственного дела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в</w:t>
      </w:r>
      <w:r>
        <w:rPr>
          <w:rFonts w:ascii="Times New Roman" w:hAnsi="Times New Roman"/>
          <w:color w:val="000000"/>
          <w:sz w:val="28"/>
        </w:rPr>
        <w:t>ысокая стоимость коммерческого кредита.</w:t>
      </w:r>
    </w:p>
    <w:p w14:paraId="38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Высокий уровень монополизации рынков и конкуренции со стороны крупного бизнеса.</w:t>
      </w:r>
    </w:p>
    <w:p w14:paraId="39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Дефицит и высокая стоимость трудовых ресурсов.</w:t>
      </w:r>
    </w:p>
    <w:p w14:paraId="3A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 Недостаток компетенций у действующих предпринимателей, особенно среди начинающих</w:t>
      </w:r>
      <w:r>
        <w:rPr>
          <w:rFonts w:ascii="Times New Roman" w:hAnsi="Times New Roman"/>
          <w:color w:val="000000"/>
          <w:sz w:val="28"/>
        </w:rPr>
        <w:t xml:space="preserve"> предпринимателей (ИП и микропредприятий).</w:t>
      </w:r>
    </w:p>
    <w:p w14:paraId="3B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В. Ключевые показатели эффективности </w:t>
      </w:r>
      <w:r>
        <w:rPr>
          <w:rFonts w:ascii="Times New Roman" w:hAnsi="Times New Roman"/>
          <w:color w:val="000000"/>
          <w:sz w:val="28"/>
        </w:rPr>
        <w:t xml:space="preserve">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в приложении </w:t>
      </w:r>
      <w:r>
        <w:rPr>
          <w:rFonts w:ascii="Times New Roman" w:hAnsi="Times New Roman"/>
          <w:color w:val="000000"/>
          <w:sz w:val="28"/>
        </w:rPr>
        <w:t>№ 8.</w:t>
      </w:r>
    </w:p>
    <w:p w14:paraId="3C05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3D05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1. Расширение доступа к финансовым ресурсам субъектов МСП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приоритетных отраслях:</w:t>
      </w:r>
    </w:p>
    <w:p w14:paraId="3E05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информирование о возможности </w:t>
      </w:r>
      <w:r>
        <w:rPr>
          <w:rFonts w:ascii="Times New Roman" w:hAnsi="Times New Roman"/>
          <w:sz w:val="28"/>
        </w:rPr>
        <w:t>предоставлени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субсидий автономной некоммерческой организации – микрофинансовой компании «Ростовское региональное агентство поддержки предпринимательства» на мероприятия по предоставлению кредитных продуктов (микрозаймов) субъектам МСП;</w:t>
      </w:r>
    </w:p>
    <w:p w14:paraId="3F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информирование о возможности получения </w:t>
      </w:r>
      <w:r>
        <w:rPr>
          <w:rFonts w:ascii="Times New Roman" w:hAnsi="Times New Roman"/>
          <w:sz w:val="28"/>
        </w:rPr>
        <w:t>взнос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 в уставный капитал акционерного общества «Региональная лизинговая компания Ростовской области» на осуществление уставной деятельности общества;</w:t>
      </w:r>
    </w:p>
    <w:p w14:paraId="40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об</w:t>
      </w:r>
      <w:r>
        <w:rPr>
          <w:rFonts w:ascii="Times New Roman" w:hAnsi="Times New Roman"/>
          <w:sz w:val="28"/>
        </w:rPr>
        <w:t xml:space="preserve"> услови</w:t>
      </w:r>
      <w:r>
        <w:rPr>
          <w:rFonts w:ascii="Times New Roman" w:hAnsi="Times New Roman"/>
          <w:sz w:val="28"/>
        </w:rPr>
        <w:t>ях</w:t>
      </w:r>
      <w:r>
        <w:rPr>
          <w:rFonts w:ascii="Times New Roman" w:hAnsi="Times New Roman"/>
          <w:sz w:val="28"/>
        </w:rPr>
        <w:t xml:space="preserve"> предоставления микрозаймов субъектам МСП;</w:t>
      </w:r>
    </w:p>
    <w:p w14:paraId="41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о возможности предоставления</w:t>
      </w:r>
      <w:r>
        <w:rPr>
          <w:rFonts w:ascii="Times New Roman" w:hAnsi="Times New Roman"/>
          <w:sz w:val="28"/>
        </w:rPr>
        <w:t xml:space="preserve"> поручительств и гарантий по кредитным и иным обязательствам субъектов МСП и самозанятых граждан.</w:t>
      </w:r>
    </w:p>
    <w:p w14:paraId="42050000">
      <w:pPr>
        <w:widowControl w:val="0"/>
        <w:tabs>
          <w:tab w:leader="none" w:pos="426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2. Повышение уровня предпринимательских компетенций (образовательная и консультационная поддержка) и создание условий </w:t>
      </w:r>
      <w:r>
        <w:br/>
      </w:r>
      <w:r>
        <w:rPr>
          <w:rFonts w:ascii="Times New Roman" w:hAnsi="Times New Roman"/>
          <w:sz w:val="28"/>
        </w:rPr>
        <w:t>для развития кадрового потенциала в субъектах МСП:</w:t>
      </w:r>
    </w:p>
    <w:p w14:paraId="43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о</w:t>
      </w:r>
      <w:r>
        <w:rPr>
          <w:rFonts w:ascii="Times New Roman" w:hAnsi="Times New Roman"/>
          <w:sz w:val="28"/>
        </w:rPr>
        <w:t xml:space="preserve"> программ</w:t>
      </w:r>
      <w:r>
        <w:rPr>
          <w:rFonts w:ascii="Times New Roman" w:hAnsi="Times New Roman"/>
          <w:sz w:val="28"/>
        </w:rPr>
        <w:t>ах</w:t>
      </w:r>
      <w:r>
        <w:rPr>
          <w:rFonts w:ascii="Times New Roman" w:hAnsi="Times New Roman"/>
          <w:sz w:val="28"/>
        </w:rPr>
        <w:t xml:space="preserve"> обучения и повышения квалификации </w:t>
      </w:r>
      <w:r>
        <w:br/>
      </w:r>
      <w:r>
        <w:rPr>
          <w:rFonts w:ascii="Times New Roman" w:hAnsi="Times New Roman"/>
          <w:sz w:val="28"/>
        </w:rPr>
        <w:t xml:space="preserve">для начинающих и действующих предпринимателей; </w:t>
      </w:r>
    </w:p>
    <w:p w14:paraId="44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информирование о программах </w:t>
      </w:r>
      <w:r>
        <w:rPr>
          <w:rFonts w:ascii="Times New Roman" w:hAnsi="Times New Roman"/>
          <w:sz w:val="28"/>
        </w:rPr>
        <w:t xml:space="preserve">по предоставлению консультационных и менторских услуг по правовым, финансовым, кадровым и организационным вопросам ведения бизнеса; </w:t>
      </w:r>
    </w:p>
    <w:p w14:paraId="45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популяризация предпринимательства через массовые мероприятия, информационные кампании;</w:t>
      </w:r>
    </w:p>
    <w:p w14:paraId="46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осведомленности о существующих мерах поддержки.</w:t>
      </w:r>
    </w:p>
    <w:p w14:paraId="47050000">
      <w:pPr>
        <w:widowControl w:val="0"/>
        <w:tabs>
          <w:tab w:leader="none" w:pos="42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3. Развитие предпринимательской среды, обеспечение доступности инфраструктуры поддержки МСП и снижение административных барьеров:</w:t>
      </w:r>
    </w:p>
    <w:p w14:paraId="48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о деятельности</w:t>
      </w:r>
      <w:r>
        <w:rPr>
          <w:rFonts w:ascii="Times New Roman" w:hAnsi="Times New Roman"/>
          <w:sz w:val="28"/>
        </w:rPr>
        <w:t xml:space="preserve"> фондов поддержки (расширение программ поддержки), микрофинансовых и гарантийных организаций;</w:t>
      </w:r>
    </w:p>
    <w:p w14:paraId="49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информирование о существующей</w:t>
      </w:r>
      <w:r>
        <w:rPr>
          <w:rFonts w:ascii="Times New Roman" w:hAnsi="Times New Roman"/>
          <w:sz w:val="28"/>
        </w:rPr>
        <w:t xml:space="preserve"> инфраструктур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поддержки предпринимателей и создан</w:t>
      </w:r>
      <w:r>
        <w:rPr>
          <w:rFonts w:ascii="Times New Roman" w:hAnsi="Times New Roman"/>
          <w:sz w:val="28"/>
        </w:rPr>
        <w:t>ных</w:t>
      </w:r>
      <w:r>
        <w:rPr>
          <w:rFonts w:ascii="Times New Roman" w:hAnsi="Times New Roman"/>
          <w:sz w:val="28"/>
        </w:rPr>
        <w:t xml:space="preserve"> новых площад</w:t>
      </w:r>
      <w:r>
        <w:rPr>
          <w:rFonts w:ascii="Times New Roman" w:hAnsi="Times New Roman"/>
          <w:sz w:val="28"/>
        </w:rPr>
        <w:t>ях для ведения бизнеса</w:t>
      </w:r>
      <w:r>
        <w:rPr>
          <w:rFonts w:ascii="Times New Roman" w:hAnsi="Times New Roman"/>
          <w:sz w:val="28"/>
        </w:rPr>
        <w:t>.</w:t>
      </w:r>
    </w:p>
    <w:p w14:paraId="4A050000">
      <w:pPr>
        <w:widowControl w:val="0"/>
        <w:tabs>
          <w:tab w:leader="none" w:pos="426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4. Стимулирование роста доходов субъектов МСП и перехода </w:t>
      </w:r>
      <w:r>
        <w:br/>
      </w:r>
      <w:r>
        <w:rPr>
          <w:rFonts w:ascii="Times New Roman" w:hAnsi="Times New Roman"/>
          <w:sz w:val="28"/>
        </w:rPr>
        <w:t>в «более высокую» категорию:</w:t>
      </w:r>
    </w:p>
    <w:p w14:paraId="4B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информирование о </w:t>
      </w:r>
      <w:r>
        <w:rPr>
          <w:rFonts w:ascii="Times New Roman" w:hAnsi="Times New Roman"/>
          <w:sz w:val="28"/>
        </w:rPr>
        <w:t>мер</w:t>
      </w:r>
      <w:r>
        <w:rPr>
          <w:rFonts w:ascii="Times New Roman" w:hAnsi="Times New Roman"/>
          <w:sz w:val="28"/>
        </w:rPr>
        <w:t>ах</w:t>
      </w:r>
      <w:r>
        <w:rPr>
          <w:rFonts w:ascii="Times New Roman" w:hAnsi="Times New Roman"/>
          <w:sz w:val="28"/>
        </w:rPr>
        <w:t xml:space="preserve"> поддержки для укрупнения и масштабирования малых предприятий;</w:t>
      </w:r>
    </w:p>
    <w:p w14:paraId="4C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увеличение охвата мерами государственной поддержки большего количества субъектов МСП; </w:t>
      </w:r>
    </w:p>
    <w:p w14:paraId="4D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информирование о </w:t>
      </w:r>
      <w:r>
        <w:rPr>
          <w:rFonts w:ascii="Times New Roman" w:hAnsi="Times New Roman"/>
          <w:sz w:val="28"/>
        </w:rPr>
        <w:t>специализированных льготных продуктов для субъектов МСП из приоритетных отраслей (микрозаймы, гарантийная и лизинговая поддержка).</w:t>
      </w:r>
    </w:p>
    <w:p w14:paraId="4E050000">
      <w:pPr>
        <w:widowControl w:val="0"/>
        <w:tabs>
          <w:tab w:leader="none" w:pos="42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5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Развитие перспективных направлений:</w:t>
      </w:r>
    </w:p>
    <w:p w14:paraId="4F050000">
      <w:pPr>
        <w:widowControl w:val="0"/>
        <w:tabs>
          <w:tab w:leader="none" w:pos="42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социального предпринимательства.</w:t>
      </w:r>
    </w:p>
    <w:p w14:paraId="50050000">
      <w:pPr>
        <w:widowControl w:val="0"/>
        <w:tabs>
          <w:tab w:leader="none" w:pos="42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6</w:t>
      </w:r>
      <w:r>
        <w:rPr>
          <w:rFonts w:ascii="Times New Roman" w:hAnsi="Times New Roman"/>
          <w:sz w:val="28"/>
        </w:rPr>
        <w:t>. Цифровизация и технологическое развитие субъектов МСП:</w:t>
      </w:r>
    </w:p>
    <w:p w14:paraId="51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информирование о программах </w:t>
      </w:r>
      <w:r>
        <w:rPr>
          <w:rFonts w:ascii="Times New Roman" w:hAnsi="Times New Roman"/>
          <w:sz w:val="28"/>
        </w:rPr>
        <w:t>субсидирования найма участников СВО;</w:t>
      </w:r>
    </w:p>
    <w:p w14:paraId="52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информирование о возможности </w:t>
      </w:r>
      <w:r>
        <w:rPr>
          <w:rFonts w:ascii="Times New Roman" w:hAnsi="Times New Roman"/>
          <w:sz w:val="28"/>
        </w:rPr>
        <w:t>содействи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автоматиз</w:t>
      </w:r>
      <w:r>
        <w:rPr>
          <w:rFonts w:ascii="Times New Roman" w:hAnsi="Times New Roman"/>
          <w:sz w:val="28"/>
        </w:rPr>
        <w:t>ации бизнес-процессов и развития онлайн сервисов</w:t>
      </w:r>
      <w:r>
        <w:rPr>
          <w:rFonts w:ascii="Times New Roman" w:hAnsi="Times New Roman"/>
          <w:sz w:val="28"/>
        </w:rPr>
        <w:t>.</w:t>
      </w:r>
    </w:p>
    <w:p w14:paraId="53050000">
      <w:pPr>
        <w:widowControl w:val="0"/>
        <w:tabs>
          <w:tab w:leader="none" w:pos="426" w:val="left"/>
          <w:tab w:leader="none" w:pos="1418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Д. Стратегические проектные инициативы: </w:t>
      </w:r>
    </w:p>
    <w:p w14:paraId="5405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1. Совершенствование системы профессионального обучения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популяризации предпринимательства в старших классах школ.</w:t>
      </w:r>
    </w:p>
    <w:p w14:paraId="5505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2. Формирование единого реестра муниципального имущества для малых и средних предприятий с целью повышения прозрачности, упрощения доступа к муниципальному имуществу и стимулирования развития предпринимательской деятельности.</w:t>
      </w:r>
    </w:p>
    <w:p w14:paraId="56050000">
      <w:bookmarkStart w:id="45" w:name="__RefHeading___45"/>
      <w:bookmarkEnd w:id="45"/>
      <w:pPr>
        <w:pStyle w:val="Style_8"/>
        <w:spacing w:line="240" w:lineRule="auto"/>
        <w:ind/>
      </w:pPr>
      <w:r>
        <w:t>4.5.2. Инвестиции</w:t>
      </w:r>
    </w:p>
    <w:p w14:paraId="57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создание благоприятного и стабильного инвестиционного климата, стимулирующего привлечение </w:t>
      </w:r>
      <w:r>
        <w:rPr>
          <w:rFonts w:ascii="Times New Roman" w:hAnsi="Times New Roman"/>
          <w:color w:val="000000"/>
          <w:sz w:val="28"/>
        </w:rPr>
        <w:t xml:space="preserve">внутреннего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внешнего капитала, развитие предпринимательства, рост бюджетных поступлений и повышение качества жизни населения.</w:t>
      </w:r>
    </w:p>
    <w:p w14:paraId="58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5905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Сохранение ограничений и барьеров для повышения эффективности привлечения и сопровождения инвесторов.</w:t>
      </w:r>
    </w:p>
    <w:p w14:paraId="5A05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Дефицит подготовленных для реализации новых инвестиционных проектов площадок.</w:t>
      </w:r>
    </w:p>
    <w:p w14:paraId="5B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В. Ключевые показатели эффективности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 приложении №</w:t>
      </w:r>
      <w:r>
        <w:rPr>
          <w:rFonts w:ascii="Times New Roman" w:hAnsi="Times New Roman"/>
          <w:color w:val="000000"/>
          <w:sz w:val="28"/>
        </w:rPr>
        <w:t xml:space="preserve"> 8</w:t>
      </w:r>
      <w:r>
        <w:rPr>
          <w:rFonts w:ascii="Times New Roman" w:hAnsi="Times New Roman"/>
          <w:color w:val="000000"/>
          <w:sz w:val="28"/>
        </w:rPr>
        <w:t>.</w:t>
      </w:r>
    </w:p>
    <w:p w14:paraId="5C05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5D05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1. Привлечение и дальнейшее сопровождение инвесторов:</w:t>
      </w:r>
    </w:p>
    <w:p w14:paraId="5E050000">
      <w:pPr>
        <w:tabs>
          <w:tab w:leader="none" w:pos="426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повышение инвестиционной привлекательности района;</w:t>
      </w:r>
    </w:p>
    <w:p w14:paraId="5F050000">
      <w:pPr>
        <w:tabs>
          <w:tab w:leader="none" w:pos="426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развитие институциональной среды в сфере государственно-частного и </w:t>
      </w:r>
      <w:r>
        <w:rPr>
          <w:rFonts w:ascii="Times New Roman" w:hAnsi="Times New Roman"/>
          <w:color w:val="000000"/>
          <w:sz w:val="28"/>
        </w:rPr>
        <w:t>муниципально</w:t>
      </w:r>
      <w:r>
        <w:rPr>
          <w:rFonts w:ascii="Times New Roman" w:hAnsi="Times New Roman"/>
          <w:color w:val="000000"/>
          <w:sz w:val="28"/>
        </w:rPr>
        <w:t>-частного партнерства.</w:t>
      </w:r>
    </w:p>
    <w:p w14:paraId="60050000">
      <w:pPr>
        <w:tabs>
          <w:tab w:leader="none" w:pos="0" w:val="left"/>
        </w:tabs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2. Сокращение административных барьеров для инвесторов:</w:t>
      </w:r>
    </w:p>
    <w:p w14:paraId="61050000">
      <w:pPr>
        <w:tabs>
          <w:tab w:leader="none" w:pos="426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внедрение порядка адресной работы  с субъектами инвестиционной деятельности в части ключевых экономических показателей;</w:t>
      </w:r>
    </w:p>
    <w:p w14:paraId="62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актуализация инвестиционного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профиля</w:t>
      </w:r>
      <w:r>
        <w:rPr>
          <w:rFonts w:ascii="Times New Roman" w:hAnsi="Times New Roman"/>
          <w:sz w:val="28"/>
        </w:rPr>
        <w:t xml:space="preserve">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;</w:t>
      </w:r>
    </w:p>
    <w:p w14:paraId="63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популяризация среди инвесторов действующих мер поддержки инвесторов;</w:t>
      </w:r>
    </w:p>
    <w:p w14:paraId="64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оказание содействия инвесторам в подборе инвестиционных площадок </w:t>
      </w:r>
      <w:r>
        <w:br/>
      </w:r>
      <w:r>
        <w:rPr>
          <w:rFonts w:ascii="Times New Roman" w:hAnsi="Times New Roman"/>
          <w:sz w:val="28"/>
        </w:rPr>
        <w:t>с учетом потребностей инвесторов и планов по развитию инженерной инфраструктуры.</w:t>
      </w:r>
    </w:p>
    <w:p w14:paraId="65050000">
      <w:pPr>
        <w:widowControl w:val="0"/>
        <w:tabs>
          <w:tab w:leader="none" w:pos="1276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3. Повышение доступности финансовых ресурсов для инвесторов:</w:t>
      </w:r>
    </w:p>
    <w:p w14:paraId="66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информирование о расширении </w:t>
      </w:r>
      <w:r>
        <w:rPr>
          <w:rFonts w:ascii="Times New Roman" w:hAnsi="Times New Roman"/>
          <w:sz w:val="28"/>
        </w:rPr>
        <w:t>доступности банковского кредитования для инвесторов за счет субсидирования ставок, льготного поручительства.</w:t>
      </w:r>
    </w:p>
    <w:p w14:paraId="67050000">
      <w:pPr>
        <w:widowControl w:val="0"/>
        <w:tabs>
          <w:tab w:leader="none" w:pos="1276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. Продвижение и создание позитивного имиджа </w:t>
      </w:r>
      <w:r>
        <w:rPr>
          <w:rFonts w:ascii="Times New Roman" w:hAnsi="Times New Roman"/>
          <w:sz w:val="28"/>
        </w:rPr>
        <w:t>района</w:t>
      </w:r>
      <w:r>
        <w:rPr>
          <w:rFonts w:ascii="Times New Roman" w:hAnsi="Times New Roman"/>
          <w:sz w:val="28"/>
        </w:rPr>
        <w:t xml:space="preserve"> </w:t>
      </w:r>
      <w:r>
        <w:br/>
      </w:r>
      <w:r>
        <w:rPr>
          <w:rFonts w:ascii="Times New Roman" w:hAnsi="Times New Roman"/>
          <w:sz w:val="28"/>
        </w:rPr>
        <w:t>для привлечения инвестиций:</w:t>
      </w:r>
    </w:p>
    <w:p w14:paraId="68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участие в </w:t>
      </w:r>
      <w:r>
        <w:rPr>
          <w:rFonts w:ascii="Times New Roman" w:hAnsi="Times New Roman"/>
          <w:sz w:val="28"/>
        </w:rPr>
        <w:t>региональных</w:t>
      </w:r>
      <w:r>
        <w:rPr>
          <w:rFonts w:ascii="Times New Roman" w:hAnsi="Times New Roman"/>
          <w:sz w:val="28"/>
        </w:rPr>
        <w:t xml:space="preserve"> форумах, выставках, </w:t>
      </w:r>
      <w:r>
        <w:br/>
      </w:r>
      <w:r>
        <w:rPr>
          <w:rFonts w:ascii="Times New Roman" w:hAnsi="Times New Roman"/>
          <w:sz w:val="28"/>
        </w:rPr>
        <w:t>бизнес-миссиях.</w:t>
      </w:r>
      <w:r>
        <w:rPr>
          <w:rFonts w:ascii="Times New Roman" w:hAnsi="Times New Roman"/>
          <w:sz w:val="28"/>
        </w:rPr>
        <w:t xml:space="preserve"> </w:t>
      </w:r>
    </w:p>
    <w:p w14:paraId="6905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Д. Стратегические проектные инициативы: </w:t>
      </w:r>
    </w:p>
    <w:p w14:paraId="6A05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 </w:t>
      </w:r>
      <w:r>
        <w:rPr>
          <w:rFonts w:ascii="Times New Roman" w:hAnsi="Times New Roman"/>
          <w:sz w:val="28"/>
        </w:rPr>
        <w:t>Формирование реестра инвестпроектов</w:t>
      </w:r>
      <w:r>
        <w:rPr>
          <w:rFonts w:ascii="Times New Roman" w:hAnsi="Times New Roman"/>
          <w:sz w:val="28"/>
        </w:rPr>
        <w:t>.</w:t>
      </w:r>
    </w:p>
    <w:p w14:paraId="6B05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</w:t>
      </w:r>
      <w:r>
        <w:rPr>
          <w:rFonts w:ascii="Times New Roman" w:hAnsi="Times New Roman"/>
          <w:sz w:val="28"/>
        </w:rPr>
        <w:t>Развитие</w:t>
      </w:r>
      <w:r>
        <w:rPr>
          <w:rFonts w:ascii="Times New Roman" w:hAnsi="Times New Roman"/>
          <w:sz w:val="28"/>
        </w:rPr>
        <w:t xml:space="preserve"> инфраструктуры сопровождения инвесторов в режиме «одного окна»</w:t>
      </w:r>
      <w:r>
        <w:rPr>
          <w:rFonts w:ascii="Times New Roman" w:hAnsi="Times New Roman"/>
          <w:color w:val="000000"/>
          <w:sz w:val="28"/>
        </w:rPr>
        <w:t>.</w:t>
      </w:r>
    </w:p>
    <w:p w14:paraId="6C050000">
      <w:bookmarkStart w:id="46" w:name="__RefHeading___46"/>
      <w:bookmarkEnd w:id="46"/>
      <w:pPr>
        <w:pStyle w:val="Style_8"/>
      </w:pPr>
      <w:r>
        <w:t>4.5.3. Экспорт</w:t>
      </w:r>
    </w:p>
    <w:p w14:paraId="6D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6E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развитие экспортной деятельности в Обливском районе.</w:t>
      </w:r>
    </w:p>
    <w:p w14:paraId="6F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Б. Ключевые </w:t>
      </w:r>
      <w:r>
        <w:rPr>
          <w:rFonts w:ascii="Times New Roman" w:hAnsi="Times New Roman"/>
          <w:color w:val="000000"/>
          <w:sz w:val="28"/>
        </w:rPr>
        <w:t>проблемы:</w:t>
      </w:r>
    </w:p>
    <w:p w14:paraId="70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Высокие финансовые риски компаний в денежном выражении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при выходе на внешние рынки.</w:t>
      </w:r>
    </w:p>
    <w:p w14:paraId="71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Высокая стоимость транспортных расходов и затрат на логистику.</w:t>
      </w:r>
    </w:p>
    <w:p w14:paraId="72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Сложности с осуществлением платежей и проведением взаиморасчетов с иностранными контрагент</w:t>
      </w:r>
      <w:r>
        <w:rPr>
          <w:rFonts w:ascii="Times New Roman" w:hAnsi="Times New Roman"/>
          <w:color w:val="000000"/>
          <w:sz w:val="28"/>
        </w:rPr>
        <w:t>ами.</w:t>
      </w:r>
    </w:p>
    <w:p w14:paraId="73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Ограничения на получение международной сертификации экспортной продукции.</w:t>
      </w:r>
    </w:p>
    <w:p w14:paraId="74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 Низкая реализация потенциала района в экспорте услуг.</w:t>
      </w:r>
    </w:p>
    <w:p w14:paraId="75050000">
      <w:pPr>
        <w:widowControl w:val="0"/>
        <w:tabs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76050000">
      <w:pPr>
        <w:widowControl w:val="0"/>
        <w:tabs>
          <w:tab w:leader="none" w:pos="1276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 Повышение компетенций экспортно о</w:t>
      </w:r>
      <w:r>
        <w:rPr>
          <w:rFonts w:ascii="Times New Roman" w:hAnsi="Times New Roman"/>
          <w:color w:val="000000"/>
          <w:sz w:val="28"/>
        </w:rPr>
        <w:t>риентированных предприятий и их информационного обеспечения в сфере экспортной деятельности:</w:t>
      </w:r>
    </w:p>
    <w:p w14:paraId="7705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информирование о наличии и специфике федеральных и региональных мер финансовой и нефинансовой поддержки со стороны АНО «Центр поддержки экспорта»;</w:t>
      </w:r>
    </w:p>
    <w:p w14:paraId="7805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информирование об</w:t>
      </w:r>
      <w:r>
        <w:rPr>
          <w:rFonts w:ascii="Times New Roman" w:hAnsi="Times New Roman"/>
          <w:sz w:val="28"/>
        </w:rPr>
        <w:t xml:space="preserve"> образовательных проект</w:t>
      </w:r>
      <w:r>
        <w:rPr>
          <w:rFonts w:ascii="Times New Roman" w:hAnsi="Times New Roman"/>
          <w:sz w:val="28"/>
        </w:rPr>
        <w:t>ах</w:t>
      </w:r>
      <w:r>
        <w:rPr>
          <w:rFonts w:ascii="Times New Roman" w:hAnsi="Times New Roman"/>
          <w:sz w:val="28"/>
        </w:rPr>
        <w:t xml:space="preserve"> в целях усиления информационно-образовательной поддержки экспортно ориентированных предприятий для выхода на международный уровень торговли и повышения эффективности экспортных поставок</w:t>
      </w:r>
      <w:r>
        <w:rPr>
          <w:rFonts w:ascii="Times New Roman" w:hAnsi="Times New Roman"/>
          <w:color w:val="000000"/>
          <w:sz w:val="28"/>
        </w:rPr>
        <w:t>.</w:t>
      </w:r>
    </w:p>
    <w:p w14:paraId="7905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Задача 2</w:t>
      </w:r>
      <w:r>
        <w:rPr>
          <w:rFonts w:ascii="Times New Roman" w:hAnsi="Times New Roman"/>
          <w:sz w:val="28"/>
        </w:rPr>
        <w:t>. Информирование о мерах поддержки экспортеров:</w:t>
      </w:r>
    </w:p>
    <w:p w14:paraId="7A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 xml:space="preserve">размещение информации о новых механизмах финансовой поддержки экспортеров; </w:t>
      </w:r>
    </w:p>
    <w:p w14:paraId="7B05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информирование о региональных институтах поддержки бизнеса, Агенство инноваций Ростовской области,</w:t>
      </w:r>
      <w:r>
        <w:rPr>
          <w:rFonts w:ascii="Times New Roman" w:hAnsi="Times New Roman"/>
          <w:sz w:val="28"/>
        </w:rPr>
        <w:t xml:space="preserve"> АНО «Центр поддержки экспорта»</w:t>
      </w:r>
      <w:r>
        <w:rPr>
          <w:rFonts w:ascii="Times New Roman" w:hAnsi="Times New Roman"/>
          <w:sz w:val="28"/>
        </w:rPr>
        <w:t>.</w:t>
      </w:r>
    </w:p>
    <w:p w14:paraId="7C05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Д. Стратегические проектные инициативы: </w:t>
      </w:r>
    </w:p>
    <w:p w14:paraId="7D050000">
      <w:p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Актуализация каталога экспортеров и </w:t>
      </w:r>
      <w:r>
        <w:rPr>
          <w:rFonts w:ascii="Times New Roman" w:hAnsi="Times New Roman"/>
          <w:sz w:val="28"/>
        </w:rPr>
        <w:t>экспортоориентированных</w:t>
      </w:r>
      <w:r>
        <w:rPr>
          <w:rFonts w:ascii="Times New Roman" w:hAnsi="Times New Roman"/>
          <w:sz w:val="28"/>
        </w:rPr>
        <w:t xml:space="preserve"> предприятий области и района.</w:t>
      </w:r>
    </w:p>
    <w:p w14:paraId="7E050000">
      <w:pPr>
        <w:spacing w:after="0"/>
        <w:ind w:firstLine="709" w:left="0"/>
        <w:jc w:val="both"/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 Вовлечение предприятий Обливского района к участию в международных конгресо-выставочных мероприятиях в Ростовской области по приоритетным направлениям.</w:t>
      </w:r>
    </w:p>
    <w:p w14:paraId="7F050000">
      <w:pPr>
        <w:spacing w:after="0"/>
        <w:ind w:firstLine="709" w:left="0"/>
        <w:jc w:val="both"/>
        <w:rPr>
          <w:rFonts w:ascii="Times New Roman" w:hAnsi="Times New Roman"/>
          <w:sz w:val="28"/>
        </w:rPr>
      </w:pPr>
    </w:p>
    <w:p w14:paraId="80050000">
      <w:bookmarkStart w:id="47" w:name="__RefHeading___47"/>
      <w:bookmarkEnd w:id="47"/>
      <w:pPr>
        <w:pStyle w:val="Style_8"/>
      </w:pPr>
      <w:r>
        <w:t>4.5.4. Производительность труда</w:t>
      </w:r>
    </w:p>
    <w:p w14:paraId="81050000">
      <w:pPr>
        <w:pStyle w:val="Style_9"/>
      </w:pPr>
    </w:p>
    <w:p w14:paraId="8205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обеспечить устойчивый рост производительности труда в ключевых отраслях экономики района за счет повышения квалификации персонала, внедрения современных управленческих практ</w:t>
      </w:r>
      <w:r>
        <w:rPr>
          <w:rFonts w:ascii="Times New Roman" w:hAnsi="Times New Roman"/>
          <w:color w:val="000000"/>
          <w:sz w:val="28"/>
        </w:rPr>
        <w:t>ик и культуры бережливого производства, а также цифровых решений.</w:t>
      </w:r>
    </w:p>
    <w:p w14:paraId="8305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8405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Недостаточное развитие культуры бережливого производства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на предприятиях базовых несырьевых отраслей муниципальной экономики.</w:t>
      </w:r>
    </w:p>
    <w:p w14:paraId="8505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Отсутствие</w:t>
      </w:r>
      <w:r>
        <w:rPr>
          <w:rFonts w:ascii="Times New Roman" w:hAnsi="Times New Roman"/>
          <w:color w:val="000000"/>
          <w:sz w:val="28"/>
        </w:rPr>
        <w:t xml:space="preserve"> муниципальных организаций социальной сферы в реализацию проектов, направленных </w:t>
      </w:r>
      <w:r>
        <w:rPr>
          <w:rFonts w:ascii="Times New Roman" w:hAnsi="Times New Roman"/>
          <w:color w:val="000000"/>
          <w:sz w:val="28"/>
        </w:rPr>
        <w:t>на повышение производительности труда.</w:t>
      </w:r>
    </w:p>
    <w:p w14:paraId="8605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87050000">
      <w:pPr>
        <w:widowControl w:val="0"/>
        <w:tabs>
          <w:tab w:leader="none" w:pos="1276" w:val="left"/>
        </w:tabs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1. Увеличение вовлеченности предприятий в реализацию проектов по повышению производительности труда:</w:t>
      </w:r>
    </w:p>
    <w:p w14:paraId="88050000">
      <w:pPr>
        <w:widowControl w:val="0"/>
        <w:tabs>
          <w:tab w:leader="none" w:pos="993" w:val="left"/>
          <w:tab w:leader="none" w:pos="1134" w:val="left"/>
        </w:tabs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информирование предприятий, в том числе через администрации </w:t>
      </w:r>
      <w:r>
        <w:rPr>
          <w:rFonts w:ascii="Times New Roman" w:hAnsi="Times New Roman"/>
          <w:sz w:val="28"/>
        </w:rPr>
        <w:t>сельских поселений</w:t>
      </w:r>
      <w:r>
        <w:rPr>
          <w:rFonts w:ascii="Times New Roman" w:hAnsi="Times New Roman"/>
          <w:sz w:val="28"/>
        </w:rPr>
        <w:t>;</w:t>
      </w:r>
    </w:p>
    <w:p w14:paraId="89050000">
      <w:pPr>
        <w:widowControl w:val="0"/>
        <w:tabs>
          <w:tab w:leader="none" w:pos="993" w:val="left"/>
          <w:tab w:leader="none" w:pos="1134" w:val="left"/>
        </w:tabs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увеличение количества публикаций в СМИ о преимуществах и эффектах участия в федеральном проекте;</w:t>
      </w:r>
    </w:p>
    <w:p w14:paraId="8A050000">
      <w:pPr>
        <w:widowControl w:val="0"/>
        <w:tabs>
          <w:tab w:leader="none" w:pos="993" w:val="left"/>
          <w:tab w:leader="none" w:pos="1134" w:val="left"/>
        </w:tabs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адресное взаимодействие с потенциальными участниками федерального проекта.</w:t>
      </w:r>
    </w:p>
    <w:p w14:paraId="8B05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Задача 2: Информирование о совершенствовании мер поддержки предприятий-участников проекта «Производительность труда», а именно:</w:t>
      </w:r>
    </w:p>
    <w:p w14:paraId="8C05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финансовые меры поддержки инвестиционный налоговый вычет, льготные займы Регионального Фонда развития промышленности Ростовской области, оказание адресной поддержки предприятиям с выручкой от 100,0 до 400,0 млн рублей в рамках регионального проекта «Производительность труда», поручительство на льготных условиях НКО «Гарантийный фонд РО»</w:t>
      </w:r>
      <w:r>
        <w:rPr>
          <w:rFonts w:ascii="Times New Roman" w:hAnsi="Times New Roman"/>
          <w:sz w:val="28"/>
        </w:rPr>
        <w:t>;</w:t>
      </w:r>
    </w:p>
    <w:p w14:paraId="8D05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Д. Стратегические проектные инициативы: </w:t>
      </w:r>
    </w:p>
    <w:p w14:paraId="8E050000">
      <w:pPr>
        <w:widowControl w:val="0"/>
        <w:numPr>
          <w:ilvl w:val="0"/>
          <w:numId w:val="2"/>
        </w:numPr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Вовлечение предприятий по внедрению бережливых технологий в государственные и муниципальные организации социальной сферы.</w:t>
      </w:r>
    </w:p>
    <w:p w14:paraId="8F050000">
      <w:pPr>
        <w:widowControl w:val="0"/>
        <w:numPr>
          <w:ilvl w:val="0"/>
          <w:numId w:val="2"/>
        </w:numPr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Информационная кампания через местные СМИ, соцсети, отраслевые мероприятия о преимуществах и эффектах участия в федеральном проекте «Производительность труда».</w:t>
      </w:r>
    </w:p>
    <w:p w14:paraId="90050000">
      <w:bookmarkStart w:id="48" w:name="__RefHeading___48"/>
      <w:bookmarkEnd w:id="48"/>
      <w:pPr>
        <w:pStyle w:val="Style_8"/>
      </w:pPr>
      <w:r>
        <w:t>4.5.5. Туризм</w:t>
      </w:r>
    </w:p>
    <w:p w14:paraId="91050000">
      <w:pPr>
        <w:pStyle w:val="Style_9"/>
      </w:pPr>
    </w:p>
    <w:p w14:paraId="92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формирование условий для создания современной и ка</w:t>
      </w:r>
      <w:r>
        <w:rPr>
          <w:rFonts w:ascii="Times New Roman" w:hAnsi="Times New Roman"/>
          <w:color w:val="000000"/>
          <w:sz w:val="28"/>
        </w:rPr>
        <w:t xml:space="preserve">чественной туристской инфраструктуры в районе, мотивирующей местное население вносить вклад в экономику района в целях формирования у российского и иностранного туриста желания продолжительного пребывания на территории Обливского района,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стимулирующег</w:t>
      </w:r>
      <w:r>
        <w:rPr>
          <w:rFonts w:ascii="Times New Roman" w:hAnsi="Times New Roman"/>
          <w:color w:val="000000"/>
          <w:sz w:val="28"/>
        </w:rPr>
        <w:t>о увеличение туристского потока.</w:t>
      </w:r>
    </w:p>
    <w:p w14:paraId="93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94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Недостаточный уровень узнаваемости туристских продуктов района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национальном и международном масштабах.</w:t>
      </w:r>
    </w:p>
    <w:p w14:paraId="95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Недостаток квалифицированных кадров в сфере туризма.</w:t>
      </w:r>
    </w:p>
    <w:p w14:paraId="96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В. Ключевые показатели эффективности</w:t>
      </w:r>
      <w:r>
        <w:rPr>
          <w:rFonts w:ascii="Times New Roman" w:hAnsi="Times New Roman"/>
          <w:color w:val="000000"/>
          <w:sz w:val="28"/>
        </w:rPr>
        <w:t xml:space="preserve"> 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97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98050000">
      <w:pPr>
        <w:widowControl w:val="0"/>
        <w:spacing w:after="0" w:line="252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Задача 1. Развитие марк</w:t>
      </w:r>
      <w:r>
        <w:rPr>
          <w:rFonts w:ascii="Times New Roman" w:hAnsi="Times New Roman"/>
          <w:sz w:val="28"/>
        </w:rPr>
        <w:t>етинга и продвижение туристского потенциала района на внутреннем  рынке:</w:t>
      </w:r>
    </w:p>
    <w:p w14:paraId="99050000">
      <w:pPr>
        <w:widowControl w:val="0"/>
        <w:tabs>
          <w:tab w:leader="none" w:pos="993" w:val="left"/>
          <w:tab w:leader="none" w:pos="1134" w:val="left"/>
        </w:tabs>
        <w:spacing w:after="0" w:line="252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реализация маркетинговых мероприятий по продвижению туристского потенциала;</w:t>
      </w:r>
    </w:p>
    <w:p w14:paraId="9A050000">
      <w:pPr>
        <w:widowControl w:val="0"/>
        <w:tabs>
          <w:tab w:leader="none" w:pos="993" w:val="left"/>
          <w:tab w:leader="none" w:pos="1134" w:val="left"/>
        </w:tabs>
        <w:spacing w:after="0" w:line="252" w:lineRule="auto"/>
        <w:ind w:firstLine="709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узнаваемости туристических маршрутов и брендов района</w:t>
      </w:r>
      <w:r>
        <w:rPr>
          <w:rFonts w:ascii="Times New Roman" w:hAnsi="Times New Roman"/>
          <w:sz w:val="28"/>
        </w:rPr>
        <w:t>;</w:t>
      </w:r>
    </w:p>
    <w:p w14:paraId="9B05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2. Создание и развитие современной и качественно туристской </w:t>
      </w:r>
      <w:r>
        <w:rPr>
          <w:rFonts w:ascii="Times New Roman" w:hAnsi="Times New Roman"/>
          <w:color w:val="000000"/>
          <w:sz w:val="28"/>
        </w:rPr>
        <w:t>инфраструктуры:</w:t>
      </w:r>
    </w:p>
    <w:p w14:paraId="9C05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создание условий для реализации на территории района инвестиционных проектов по созданию модульных некапитальных средств размещения;</w:t>
      </w:r>
    </w:p>
    <w:p w14:paraId="9D05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создан</w:t>
      </w:r>
      <w:r>
        <w:rPr>
          <w:rFonts w:ascii="Times New Roman" w:hAnsi="Times New Roman"/>
          <w:color w:val="000000"/>
          <w:sz w:val="28"/>
        </w:rPr>
        <w:t>ие условий для реализации на территории района проектов, направленных на развитие туристской инфраструктуры.</w:t>
      </w:r>
    </w:p>
    <w:p w14:paraId="9E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</w:t>
      </w:r>
      <w:r>
        <w:rPr>
          <w:rFonts w:ascii="Times New Roman" w:hAnsi="Times New Roman"/>
          <w:color w:val="000000"/>
          <w:sz w:val="28"/>
        </w:rPr>
        <w:t>ческие проектные инициативы:</w:t>
      </w:r>
    </w:p>
    <w:p w14:paraId="9F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Информационная поддержка реализации инвестиционных проектов по созданию модульных некапитальных средств размещения.</w:t>
      </w:r>
    </w:p>
    <w:p w14:paraId="A0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sz w:val="28"/>
        </w:rPr>
        <w:t xml:space="preserve"> Развитие на территории района инфраструктуры автотуризма.</w:t>
      </w:r>
    </w:p>
    <w:p w14:paraId="A1050000">
      <w:bookmarkStart w:id="49" w:name="__RefHeading___49"/>
      <w:bookmarkEnd w:id="49"/>
      <w:pPr>
        <w:pStyle w:val="Style_8"/>
      </w:pPr>
      <w:r>
        <w:t>4.5.6. Креативные индустрии</w:t>
      </w:r>
    </w:p>
    <w:p w14:paraId="A2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A3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создание устойчи</w:t>
      </w:r>
      <w:r>
        <w:rPr>
          <w:rFonts w:ascii="Times New Roman" w:hAnsi="Times New Roman"/>
          <w:color w:val="000000"/>
          <w:sz w:val="28"/>
        </w:rPr>
        <w:t xml:space="preserve">вой экосистемы креативных индустрий, способной генерировать высококачественный культурный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интеллектуальный продукт, стимулировать занятость и экспорт, а также укреплять региональную идентичность и международную конкурентоспособность.</w:t>
      </w:r>
    </w:p>
    <w:p w14:paraId="A4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</w:t>
      </w:r>
      <w:r>
        <w:rPr>
          <w:rFonts w:ascii="Times New Roman" w:hAnsi="Times New Roman"/>
          <w:color w:val="000000"/>
          <w:sz w:val="28"/>
        </w:rPr>
        <w:t>:</w:t>
      </w:r>
    </w:p>
    <w:p w14:paraId="A5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Недостаточность финансовых ресурсов в отраслях креативных индустрий.</w:t>
      </w:r>
    </w:p>
    <w:p w14:paraId="A6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Сложности с продвижением и сбытом продукции.</w:t>
      </w:r>
    </w:p>
    <w:p w14:paraId="A7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В. Ключевые показатели эффективности </w:t>
      </w:r>
      <w:r>
        <w:rPr>
          <w:rFonts w:ascii="Times New Roman" w:hAnsi="Times New Roman"/>
          <w:color w:val="000000"/>
          <w:sz w:val="28"/>
        </w:rPr>
        <w:t xml:space="preserve">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A8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A9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 Повышение спроса на креативные п</w:t>
      </w:r>
      <w:r>
        <w:rPr>
          <w:rFonts w:ascii="Times New Roman" w:hAnsi="Times New Roman"/>
          <w:color w:val="000000"/>
          <w:sz w:val="28"/>
        </w:rPr>
        <w:t xml:space="preserve">родукты и предложения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для реального сектора экономики:</w:t>
      </w:r>
    </w:p>
    <w:p w14:paraId="AA05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>информирование населения</w:t>
      </w:r>
      <w:r>
        <w:rPr>
          <w:rFonts w:ascii="Times New Roman" w:hAnsi="Times New Roman"/>
          <w:color w:val="000000"/>
          <w:sz w:val="28"/>
        </w:rPr>
        <w:t xml:space="preserve"> о проведение маркетинговых и событийных мероприятий </w:t>
      </w:r>
      <w:r>
        <w:rPr>
          <w:rFonts w:ascii="Times New Roman" w:hAnsi="Times New Roman"/>
          <w:color w:val="000000"/>
          <w:sz w:val="28"/>
        </w:rPr>
        <w:t>по популяризации локального креативного контента (фестивали, гастрофестивали, конкурсы, маркетплейсы, выставки, региональные мероприятия и</w:t>
      </w:r>
      <w:r>
        <w:rPr>
          <w:rFonts w:ascii="Times New Roman" w:hAnsi="Times New Roman"/>
          <w:color w:val="000000"/>
          <w:sz w:val="28"/>
        </w:rPr>
        <w:t xml:space="preserve"> коллаборации </w:t>
      </w:r>
      <w:r>
        <w:rPr>
          <w:rFonts w:ascii="Times New Roman" w:hAnsi="Times New Roman"/>
          <w:color w:val="000000"/>
          <w:sz w:val="28"/>
        </w:rPr>
        <w:t>с бизнесом, ярмарки и дни креативных индустрий);</w:t>
      </w:r>
    </w:p>
    <w:p w14:paraId="AB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2. Вовлечение творческого населения, в том числе молодежи,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креативные индустрии:</w:t>
      </w:r>
    </w:p>
    <w:p w14:paraId="AC05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создание условий для творческой самореализации </w:t>
      </w:r>
      <w:r>
        <w:rPr>
          <w:rFonts w:ascii="Times New Roman" w:hAnsi="Times New Roman"/>
          <w:color w:val="000000"/>
          <w:sz w:val="28"/>
        </w:rPr>
        <w:t>молодежи в сфере креативных индустрий;</w:t>
      </w:r>
    </w:p>
    <w:p w14:paraId="AD05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поддержка творческого предпринимательства и стартапов среди молодежи.</w:t>
      </w:r>
    </w:p>
    <w:p w14:paraId="AE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</w:t>
      </w:r>
      <w:r>
        <w:rPr>
          <w:rFonts w:ascii="Times New Roman" w:hAnsi="Times New Roman"/>
          <w:color w:val="000000"/>
          <w:sz w:val="28"/>
        </w:rPr>
        <w:t>оектные инициативы:</w:t>
      </w:r>
    </w:p>
    <w:p w14:paraId="AF050000">
      <w:pPr>
        <w:widowControl w:val="0"/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1. Популяризация креативных индустрий .</w:t>
      </w:r>
    </w:p>
    <w:p w14:paraId="B0050000">
      <w:pPr>
        <w:widowControl w:val="0"/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2. Информирование о неиспользуемых площадках в районе пригодных для размещения креативных объектов.</w:t>
      </w:r>
    </w:p>
    <w:p w14:paraId="B1050000">
      <w:pPr>
        <w:widowControl w:val="0"/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3. Консультационная поддержка стартапов участников СВО в направлении развития народных художественных промыслов, индустрии дизайна и моды, ИТ, гастрономия.</w:t>
      </w:r>
    </w:p>
    <w:p w14:paraId="B2050000">
      <w:bookmarkStart w:id="50" w:name="__RefHeading___50"/>
      <w:bookmarkEnd w:id="50"/>
      <w:pPr>
        <w:pStyle w:val="Style_8"/>
      </w:pPr>
      <w:r>
        <w:t>4.5.7. Агропромышленный комплекс</w:t>
      </w:r>
    </w:p>
    <w:p w14:paraId="B3050000">
      <w:pPr>
        <w:pStyle w:val="Style_9"/>
      </w:pPr>
    </w:p>
    <w:p w14:paraId="B4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</w:t>
      </w:r>
      <w:r>
        <w:rPr>
          <w:rFonts w:ascii="Times New Roman" w:hAnsi="Times New Roman"/>
          <w:color w:val="000000"/>
          <w:sz w:val="28"/>
        </w:rPr>
        <w:t>сформировать высокопроизводительный, дифференцированный экспортно-ориентированный агропромышленный комплекс с высоким уровнем автоматизации и добавленной стоимости, обеспечивающий продовольственную безопасность района.</w:t>
      </w:r>
    </w:p>
    <w:p w14:paraId="B5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B6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Снижение пл</w:t>
      </w:r>
      <w:r>
        <w:rPr>
          <w:rFonts w:ascii="Times New Roman" w:hAnsi="Times New Roman"/>
          <w:color w:val="000000"/>
          <w:sz w:val="28"/>
        </w:rPr>
        <w:t>одородия почв и недостаточный уровень развитости мелиорационных систем, высокие риски природно-климатических аномалий, увеличение площадей, подверженных водной и ветровой эрозии, сокращение орошаемых земель, неудовлетворительное состояние агролесомелиорати</w:t>
      </w:r>
      <w:r>
        <w:rPr>
          <w:rFonts w:ascii="Times New Roman" w:hAnsi="Times New Roman"/>
          <w:color w:val="000000"/>
          <w:sz w:val="28"/>
        </w:rPr>
        <w:t>вных насаждений, высокие риски возникновения неблагоприятных эпизоотических ситуаций.</w:t>
      </w:r>
    </w:p>
    <w:p w14:paraId="B7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Высокая себестоимость инвестиционного строительства новых объектов животноводства, санкционная политика в отношении Российской Федерации ограничивает и (или) увеличива</w:t>
      </w:r>
      <w:r>
        <w:rPr>
          <w:rFonts w:ascii="Times New Roman" w:hAnsi="Times New Roman"/>
          <w:color w:val="000000"/>
          <w:sz w:val="28"/>
        </w:rPr>
        <w:t>ет стоимость поставок оборудования, племенных животных, кормов.</w:t>
      </w:r>
    </w:p>
    <w:p w14:paraId="B8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 Низкая закупочная цена на сельскохозяйственную продукцию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при высокой цене в торговых сетях готовой продукции, высокая стоимость заемных средств.</w:t>
      </w:r>
    </w:p>
    <w:p w14:paraId="B9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Высокий уровень износа материально-технич</w:t>
      </w:r>
      <w:r>
        <w:rPr>
          <w:rFonts w:ascii="Times New Roman" w:hAnsi="Times New Roman"/>
          <w:color w:val="000000"/>
          <w:sz w:val="28"/>
        </w:rPr>
        <w:t>еской базы предприятий.</w:t>
      </w:r>
    </w:p>
    <w:p w14:paraId="BA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 Невысокая доля представленности продукции региональных производителей на областном потребительском рынке, недостаточный спрос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на пр</w:t>
      </w:r>
      <w:r>
        <w:rPr>
          <w:rFonts w:ascii="Times New Roman" w:hAnsi="Times New Roman"/>
          <w:color w:val="000000"/>
          <w:sz w:val="28"/>
        </w:rPr>
        <w:t>одукцию со стороны торговых сетей.</w:t>
      </w:r>
    </w:p>
    <w:p w14:paraId="BB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В. Ключевые показатели эффективности </w:t>
      </w:r>
      <w:r>
        <w:rPr>
          <w:rFonts w:ascii="Times New Roman" w:hAnsi="Times New Roman"/>
          <w:color w:val="000000"/>
          <w:sz w:val="28"/>
        </w:rPr>
        <w:t xml:space="preserve">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BC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BD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 Обеспечение устойчивого роста плодородия почв и развития мел</w:t>
      </w:r>
      <w:r>
        <w:rPr>
          <w:rFonts w:ascii="Times New Roman" w:hAnsi="Times New Roman"/>
          <w:color w:val="000000"/>
          <w:sz w:val="28"/>
        </w:rPr>
        <w:t>иоративного комплекса:</w:t>
      </w:r>
    </w:p>
    <w:p w14:paraId="BE05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восстановление, реконструкция и создание лесных насаждений; </w:t>
      </w:r>
    </w:p>
    <w:p w14:paraId="BF05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содействие м</w:t>
      </w:r>
      <w:r>
        <w:rPr>
          <w:rFonts w:ascii="Times New Roman" w:hAnsi="Times New Roman"/>
          <w:color w:val="000000"/>
          <w:sz w:val="28"/>
        </w:rPr>
        <w:t>одернизации производства сельскохозяйственной продукции, приобретение сельскохозяйственной техники;</w:t>
      </w:r>
    </w:p>
    <w:p w14:paraId="C005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сопровождение реализации инвестиционных проектов в отрасли растениеводства.</w:t>
      </w:r>
    </w:p>
    <w:p w14:paraId="C1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2. Создание</w:t>
      </w:r>
      <w:r>
        <w:rPr>
          <w:rFonts w:ascii="Times New Roman" w:hAnsi="Times New Roman"/>
          <w:color w:val="000000"/>
          <w:sz w:val="28"/>
        </w:rPr>
        <w:t xml:space="preserve"> условий для стабильного развития отрасли животноводства:</w:t>
      </w:r>
    </w:p>
    <w:p w14:paraId="C205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предупреждение и ликвидация последствий неблагоприятных эпизоотических ситуаций;</w:t>
      </w:r>
    </w:p>
    <w:p w14:paraId="C305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государственной поддержки на развитие животноводства, в том числе племенного.</w:t>
      </w:r>
    </w:p>
    <w:p w14:paraId="C4050000">
      <w:pPr>
        <w:widowControl w:val="0"/>
        <w:tabs>
          <w:tab w:leader="none" w:pos="9354" w:val="righ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3. Наращивание объемов производства пищевой продукции:</w:t>
      </w:r>
    </w:p>
    <w:p w14:paraId="C505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сопровождение реализации инвестиционных проектов в пищевой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перерабатывающей промышленности.</w:t>
      </w:r>
    </w:p>
    <w:p w14:paraId="C6050000">
      <w:pPr>
        <w:widowControl w:val="0"/>
        <w:tabs>
          <w:tab w:leader="none" w:pos="9354" w:val="righ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4. Развитие инфраструктуры и каналов сбыта донских производителей:</w:t>
      </w:r>
    </w:p>
    <w:p w14:paraId="C7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информирование о проведении </w:t>
      </w:r>
      <w:r>
        <w:rPr>
          <w:rFonts w:ascii="Times New Roman" w:hAnsi="Times New Roman"/>
          <w:sz w:val="28"/>
        </w:rPr>
        <w:t>региональных выставочно-ярмарочных мероприятий;</w:t>
      </w:r>
    </w:p>
    <w:p w14:paraId="C8050000">
      <w:pPr>
        <w:widowControl w:val="0"/>
        <w:tabs>
          <w:tab w:leader="none" w:pos="993" w:val="left"/>
          <w:tab w:leader="none" w:pos="1134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системы добровольной</w:t>
      </w:r>
      <w:r>
        <w:rPr>
          <w:rFonts w:ascii="Times New Roman" w:hAnsi="Times New Roman"/>
          <w:sz w:val="28"/>
        </w:rPr>
        <w:t xml:space="preserve"> сертификации «Сделано на Дону»</w:t>
      </w:r>
      <w:r>
        <w:rPr>
          <w:rFonts w:ascii="Times New Roman" w:hAnsi="Times New Roman"/>
          <w:sz w:val="28"/>
        </w:rPr>
        <w:t>.</w:t>
      </w:r>
    </w:p>
    <w:p w14:paraId="C905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5. Создание условий для привлечения молодых кадров:</w:t>
      </w:r>
    </w:p>
    <w:p w14:paraId="CA050000">
      <w:pPr>
        <w:widowControl w:val="0"/>
        <w:tabs>
          <w:tab w:leader="none" w:pos="993" w:val="left"/>
          <w:tab w:leader="none" w:pos="1134" w:val="left"/>
        </w:tabs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комплексное развитие сельских территорий: обустройство сельских территорий объектами инженерной, социальной и транспортной</w:t>
      </w:r>
      <w:r>
        <w:rPr>
          <w:rFonts w:ascii="Times New Roman" w:hAnsi="Times New Roman"/>
          <w:color w:val="000000"/>
          <w:sz w:val="28"/>
        </w:rPr>
        <w:t xml:space="preserve"> инфраструктуры.</w:t>
      </w:r>
    </w:p>
    <w:p w14:paraId="CB05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CC05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Проведение мероприятий по инфраструктурному обустройству сельских территорий, созданию современного облика сельских территорий, благоустройству в целях сохранения численности сельского населения, в том числе занятого в АПК.</w:t>
      </w:r>
    </w:p>
    <w:p w14:paraId="CD05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2.Увеличение производства продукции зерновых и масличных культур;</w:t>
      </w:r>
    </w:p>
    <w:p w14:paraId="CE05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680" w:left="0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Увеличение производства продукции животноводства (птицеводство, мясное животноводство).</w:t>
      </w:r>
    </w:p>
    <w:p w14:paraId="CF050000">
      <w:bookmarkStart w:id="51" w:name="__RefHeading___51"/>
      <w:bookmarkEnd w:id="51"/>
      <w:pPr>
        <w:pStyle w:val="Style_8"/>
      </w:pPr>
      <w:r>
        <w:t xml:space="preserve"> 4.5.8. Потребительский рынок</w:t>
      </w:r>
    </w:p>
    <w:p w14:paraId="D005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b w:val="0"/>
          <w:color w:val="CF543F"/>
          <w:sz w:val="28"/>
        </w:rPr>
      </w:pPr>
    </w:p>
    <w:p w14:paraId="D105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А. Стратегическая цель – формирование на потребительском рынке комфортной среды для граждан и субъектов предпринимательской деятельности через развитие </w:t>
      </w:r>
      <w:r>
        <w:rPr>
          <w:rFonts w:ascii="Times New Roman" w:hAnsi="Times New Roman"/>
          <w:sz w:val="28"/>
        </w:rPr>
        <w:t>многоформатной</w:t>
      </w:r>
      <w:r>
        <w:rPr>
          <w:rFonts w:ascii="Times New Roman" w:hAnsi="Times New Roman"/>
          <w:sz w:val="28"/>
        </w:rPr>
        <w:t xml:space="preserve"> инфраструктуры торговли.</w:t>
      </w:r>
    </w:p>
    <w:p w14:paraId="D2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Б. Ключевые проблемы:</w:t>
      </w:r>
    </w:p>
    <w:p w14:paraId="D3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Неравномерная обеспеченность населения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торговыми площадями, недостаточное количество торговых объектов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в сельской местности.</w:t>
      </w:r>
    </w:p>
    <w:p w14:paraId="D4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. Отсутствие единого подхода к размещению нестационарных торговых объектов на территории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.</w:t>
      </w:r>
    </w:p>
    <w:p w14:paraId="D5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 Высокий уровень присутствия на потребительском рынке фальсифицированной и некачественной продукции.</w:t>
      </w:r>
    </w:p>
    <w:p w14:paraId="D6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 Дефицит квалифицированных рабочих кадров в сфере потребительского рынка.</w:t>
      </w:r>
    </w:p>
    <w:p w14:paraId="D7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>. Недостаточная представленность продукции областного прои</w:t>
      </w:r>
      <w:r>
        <w:rPr>
          <w:rFonts w:ascii="Times New Roman" w:hAnsi="Times New Roman"/>
          <w:sz w:val="28"/>
        </w:rPr>
        <w:t>зводства в торговой сети района.</w:t>
      </w:r>
    </w:p>
    <w:p w14:paraId="D805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sz w:val="28"/>
        </w:rPr>
        <w:t>В. Ключевые показатели эффективности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представлены 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D905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Приоритетные задачи.</w:t>
      </w:r>
    </w:p>
    <w:p w14:paraId="DA05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1. Повышение доступности инфраструктуры торговли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для населения:</w:t>
      </w:r>
    </w:p>
    <w:p w14:paraId="DB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сопровождение реализации инвестиционных проектов по строительству крупных торговых объектов; </w:t>
      </w:r>
    </w:p>
    <w:p w14:paraId="DC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сопровождение реализации инвестиционных проектов по строительству складских объектов в сфере торговли;</w:t>
      </w:r>
    </w:p>
    <w:p w14:paraId="DD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услугами торговли жителей удаленн</w:t>
      </w:r>
      <w:r>
        <w:rPr>
          <w:rFonts w:ascii="Times New Roman" w:hAnsi="Times New Roman"/>
          <w:sz w:val="28"/>
        </w:rPr>
        <w:t>ых и труднодоступных территорий</w:t>
      </w:r>
      <w:r>
        <w:rPr>
          <w:rFonts w:ascii="Times New Roman" w:hAnsi="Times New Roman"/>
          <w:sz w:val="28"/>
        </w:rPr>
        <w:t>.</w:t>
      </w:r>
    </w:p>
    <w:p w14:paraId="DE05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2. Сохранение и развитие формата </w:t>
      </w:r>
      <w:r>
        <w:rPr>
          <w:rFonts w:ascii="Times New Roman" w:hAnsi="Times New Roman"/>
          <w:sz w:val="28"/>
        </w:rPr>
        <w:t xml:space="preserve">ярмарок на территории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:</w:t>
      </w:r>
    </w:p>
    <w:p w14:paraId="DF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развитие ярмарочной торговли;</w:t>
      </w:r>
    </w:p>
    <w:p w14:paraId="E0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продвижения продукции местного производства.</w:t>
      </w:r>
    </w:p>
    <w:p w14:paraId="E105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3. Формирование единого подхода к размещению нестационарных торговых объектов на территории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:</w:t>
      </w:r>
    </w:p>
    <w:p w14:paraId="E2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упрощение процедуры оформления нестационарных торговых объектов для хозяйствующих субъектов;</w:t>
      </w:r>
    </w:p>
    <w:p w14:paraId="E3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упорядочивание размещения НТО;</w:t>
      </w:r>
    </w:p>
    <w:p w14:paraId="E4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подходов к размещению нестационарных объектов общественного питания и объектов бытового обслуживания населения;</w:t>
      </w:r>
    </w:p>
    <w:p w14:paraId="E5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расширение практики предоставления производителям продовольственных товаров и сельскохозяйственной продукции, а также предприятиям потребительской кооперации мест для размещения нестационарных торговых объектов без проведения торгов, конкурсов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и аукционов.</w:t>
      </w:r>
    </w:p>
    <w:p w14:paraId="E605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4. Повышение качества продукции, поступающей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на потребительский рынок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:</w:t>
      </w:r>
    </w:p>
    <w:p w14:paraId="E7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мероприятий по обеспечению качества и безопасности пищевых продуктов.</w:t>
      </w:r>
    </w:p>
    <w:p w14:paraId="E805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5. Популяризация профессий в сфере потребительского рынк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:</w:t>
      </w:r>
    </w:p>
    <w:p w14:paraId="E905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поощрение лучших работников отрасли путем присвоения званий «Лучший работник торговли Дона», «Лучший работник сферы бытового обслуживания населения Ростовской области» и «Лучший работник сферы общественного питания </w:t>
      </w:r>
      <w:r>
        <w:rPr>
          <w:rFonts w:ascii="Times New Roman" w:hAnsi="Times New Roman"/>
          <w:sz w:val="28"/>
        </w:rPr>
        <w:t>Росто</w:t>
      </w:r>
      <w:r>
        <w:rPr>
          <w:rFonts w:ascii="Times New Roman" w:hAnsi="Times New Roman"/>
          <w:sz w:val="28"/>
        </w:rPr>
        <w:t>вской области».</w:t>
      </w:r>
    </w:p>
    <w:p w14:paraId="EA050000">
      <w:pPr>
        <w:widowControl w:val="0"/>
        <w:tabs>
          <w:tab w:leader="none" w:pos="426" w:val="left"/>
          <w:tab w:leader="none" w:pos="1418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Д. Стратегические проектные инициативы: </w:t>
      </w:r>
    </w:p>
    <w:p w14:paraId="EB05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Внедрение сервиса по предоставлению услуг в сфере организации торговой деятельности через Единый портал государственных услуг.</w:t>
      </w:r>
    </w:p>
    <w:p w14:paraId="EC05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Переход на проведение торгов в электронном виде на право размещения нестационарных торговых объектов.</w:t>
      </w:r>
    </w:p>
    <w:p w14:paraId="ED05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. Расширение практики выявления мест несанкционированной торговли с помощью камер видеонаблюдения, входящих в состав региональной информационной системы «Аппаратно-программный комплекс «Безопасный город», для их последующей ликвидации.</w:t>
      </w:r>
    </w:p>
    <w:p w14:paraId="EE050000">
      <w:pPr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sz w:val="28"/>
        </w:rPr>
        <w:t xml:space="preserve">4. Внедрение  единого </w:t>
      </w:r>
      <w:r>
        <w:rPr>
          <w:rFonts w:ascii="Times New Roman" w:hAnsi="Times New Roman"/>
          <w:b w:val="0"/>
          <w:i w:val="0"/>
          <w:caps w:val="0"/>
          <w:color w:val="333333"/>
          <w:spacing w:val="0"/>
          <w:sz w:val="28"/>
          <w:highlight w:val="white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дизайн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‑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  <w:highlight w:val="white"/>
        </w:rPr>
        <w:t>код</w:t>
      </w:r>
      <w:r>
        <w:rPr>
          <w:rFonts w:ascii="Times New Roman" w:hAnsi="Times New Roman"/>
          <w:b w:val="0"/>
          <w:color w:val="000000"/>
          <w:sz w:val="28"/>
        </w:rPr>
        <w:t>а</w:t>
      </w:r>
      <w:r>
        <w:rPr>
          <w:rFonts w:ascii="Times New Roman" w:hAnsi="Times New Roman"/>
          <w:b w:val="0"/>
          <w:sz w:val="28"/>
        </w:rPr>
        <w:t xml:space="preserve"> внешнего вида</w:t>
      </w:r>
      <w:r>
        <w:rPr>
          <w:rFonts w:ascii="Times New Roman" w:hAnsi="Times New Roman"/>
          <w:sz w:val="28"/>
        </w:rPr>
        <w:t xml:space="preserve"> нестационарных торговых объектов на территории Обливского района не зависимо от   формы собственности.</w:t>
      </w:r>
    </w:p>
    <w:p w14:paraId="EF050000">
      <w:bookmarkStart w:id="52" w:name="__RefHeading___52"/>
      <w:bookmarkEnd w:id="52"/>
      <w:pPr>
        <w:pStyle w:val="Style_8"/>
      </w:pPr>
      <w:r>
        <w:t>4.5.9. Кадровое обеспечение экономики района</w:t>
      </w:r>
    </w:p>
    <w:p w14:paraId="F0050000">
      <w:pPr>
        <w:pStyle w:val="Style_9"/>
      </w:pPr>
    </w:p>
    <w:p w14:paraId="F1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обеспечение сбалансированности и устойчивого развития рынка труда на основе внедрения системы прогнозирования потребностей экономики в кадрах и профессиональной ор</w:t>
      </w:r>
      <w:r>
        <w:rPr>
          <w:rFonts w:ascii="Times New Roman" w:hAnsi="Times New Roman"/>
          <w:color w:val="000000"/>
          <w:sz w:val="28"/>
        </w:rPr>
        <w:t>иентации населения.</w:t>
      </w:r>
    </w:p>
    <w:p w14:paraId="F2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F3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Потребность работодателей в кадрах превышает предложение рабочей силы.</w:t>
      </w:r>
    </w:p>
    <w:p w14:paraId="F4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Низкая конкурентоспособность отдельных категорий граждан на рынке труда.</w:t>
      </w:r>
    </w:p>
    <w:p w14:paraId="F5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3. Высокий уровень конкуренции между регионами на рынке труда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по</w:t>
      </w:r>
      <w:r>
        <w:rPr>
          <w:rFonts w:ascii="Times New Roman" w:hAnsi="Times New Roman"/>
          <w:color w:val="000000"/>
          <w:sz w:val="28"/>
        </w:rPr>
        <w:t xml:space="preserve"> привлечению высококвалифицированных специалистов.</w:t>
      </w:r>
    </w:p>
    <w:p w14:paraId="F605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В. Ключевые показатели эффективности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F705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F805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 Содействие трудоустройству граждан и обеспечению работодателей работниками в соответствии с потребност</w:t>
      </w:r>
      <w:r>
        <w:rPr>
          <w:rFonts w:ascii="Times New Roman" w:hAnsi="Times New Roman"/>
          <w:color w:val="000000"/>
          <w:sz w:val="28"/>
        </w:rPr>
        <w:t>ями экономики:</w:t>
      </w:r>
    </w:p>
    <w:p w14:paraId="F905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профессиональной ориентации граждан в целях выбора сферы профессиональной деятельности (профессии), трудоустройства, прохождения профессионального обучения, получения дополнительного профессионального образования;</w:t>
      </w:r>
    </w:p>
    <w:p w14:paraId="FA05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комплек</w:t>
      </w:r>
      <w:r>
        <w:rPr>
          <w:rFonts w:ascii="Times New Roman" w:hAnsi="Times New Roman"/>
          <w:color w:val="000000"/>
          <w:sz w:val="28"/>
        </w:rPr>
        <w:t>са мер государственной поддержки в сфере занятости населения для граждан, ищущих работу, в том числе безработных граждан;</w:t>
      </w:r>
    </w:p>
    <w:p w14:paraId="FB05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популяризация Единой цифровой платформы в сфере занятости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трудовых отношений «Работа в России» как информационной площадки, позвол</w:t>
      </w:r>
      <w:r>
        <w:rPr>
          <w:rFonts w:ascii="Times New Roman" w:hAnsi="Times New Roman"/>
          <w:color w:val="000000"/>
          <w:sz w:val="28"/>
        </w:rPr>
        <w:t>яющей работодателям осуществлять подбор соискателей, а ищущим работу гражданам найти себе работу;</w:t>
      </w:r>
    </w:p>
    <w:p w14:paraId="FC05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работы, безработных граж</w:t>
      </w:r>
      <w:r>
        <w:rPr>
          <w:rFonts w:ascii="Times New Roman" w:hAnsi="Times New Roman"/>
          <w:color w:val="000000"/>
          <w:sz w:val="28"/>
        </w:rPr>
        <w:t xml:space="preserve">дан в возрасте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от 18 до 25 лет, имеющих среднее профессиональное образование или высшее образование и ищущих работу в течение года с даты выдачи им документа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об образовании и о квалификации;</w:t>
      </w:r>
    </w:p>
    <w:p w14:paraId="FD05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2. Обеспечение права на труд лиц, обладающих низкой конкурентоспособностью:</w:t>
      </w:r>
    </w:p>
    <w:p w14:paraId="FE05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предоставление возможности повысить квалификацию и приобрести дополнительные знания и навыки отдельным категориям граждан в ра</w:t>
      </w:r>
      <w:r>
        <w:rPr>
          <w:rFonts w:ascii="Times New Roman" w:hAnsi="Times New Roman"/>
          <w:color w:val="000000"/>
          <w:sz w:val="28"/>
        </w:rPr>
        <w:t xml:space="preserve">мках федерального проекта «Активные меры содействия занятости» национального проекта «Кадры»; </w:t>
      </w:r>
    </w:p>
    <w:p w14:paraId="FF05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помощь в трудоустройстве людям с ограниченными возможностями здоровья, в том числе стимулирование заинтересованности работодателей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найме людей с ограниченными в</w:t>
      </w:r>
      <w:r>
        <w:rPr>
          <w:rFonts w:ascii="Times New Roman" w:hAnsi="Times New Roman"/>
          <w:color w:val="000000"/>
          <w:sz w:val="28"/>
        </w:rPr>
        <w:t>озможностями здоровья;</w:t>
      </w:r>
    </w:p>
    <w:p w14:paraId="0006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содействие приоритетному трудоустройст</w:t>
      </w:r>
      <w:r>
        <w:rPr>
          <w:rFonts w:ascii="Times New Roman" w:hAnsi="Times New Roman"/>
          <w:color w:val="000000"/>
          <w:sz w:val="28"/>
        </w:rPr>
        <w:t>ву участников СВО.</w:t>
      </w:r>
    </w:p>
    <w:p w14:paraId="01060000">
      <w:pPr>
        <w:widowControl w:val="0"/>
        <w:tabs>
          <w:tab w:leader="none" w:pos="426" w:val="left"/>
          <w:tab w:leader="none" w:pos="1418" w:val="left"/>
          <w:tab w:leader="none" w:pos="6521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3. Реализация мероприятий, направленных на повышение престижа рабочих профессий:</w:t>
      </w:r>
    </w:p>
    <w:p w14:paraId="02060000">
      <w:pPr>
        <w:widowControl w:val="0"/>
        <w:tabs>
          <w:tab w:leader="none" w:pos="993" w:val="left"/>
          <w:tab w:leader="none" w:pos="1134" w:val="left"/>
        </w:tabs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проведение профориентационных мероприятий для обучающихся.</w:t>
      </w:r>
    </w:p>
    <w:p w14:paraId="03060000">
      <w:pPr>
        <w:widowControl w:val="0"/>
        <w:tabs>
          <w:tab w:leader="none" w:pos="426" w:val="left"/>
          <w:tab w:leader="none" w:pos="1418" w:val="left"/>
          <w:tab w:leader="none" w:pos="6521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0406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68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Профессиональная ориентация в общеобразовательных организациях, включая информирование о возможностях и перспективах различных профессий, с учетом востребованности на рынке труда.</w:t>
      </w:r>
    </w:p>
    <w:p w14:paraId="0506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68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Пропаганда рабочих профессий.</w:t>
      </w:r>
    </w:p>
    <w:p w14:paraId="06060000">
      <w:pPr>
        <w:widowControl w:val="0"/>
        <w:spacing w:after="0" w:before="0" w:line="240" w:lineRule="auto"/>
        <w:ind w:firstLine="680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sz w:val="28"/>
        </w:rPr>
        <w:t>3. Герои Дона: адаптация, переобучение и трудоустройство участников СВО.</w:t>
      </w:r>
    </w:p>
    <w:p w14:paraId="07060000">
      <w:bookmarkStart w:id="53" w:name="__RefHeading___53"/>
      <w:bookmarkEnd w:id="53"/>
      <w:pPr>
        <w:pStyle w:val="Style_6"/>
      </w:pPr>
      <w:r>
        <w:t xml:space="preserve">4.6. </w:t>
      </w:r>
      <w:r>
        <w:t>Технологическое лидерство в Обливском районе</w:t>
      </w:r>
    </w:p>
    <w:p w14:paraId="08060000">
      <w:pPr>
        <w:widowControl w:val="0"/>
        <w:spacing w:after="0" w:line="240" w:lineRule="auto"/>
        <w:ind w:firstLine="0" w:left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реализации национальной цели:</w:t>
      </w:r>
    </w:p>
    <w:p w14:paraId="09060000">
      <w:pPr>
        <w:widowControl w:val="0"/>
        <w:spacing w:after="0" w:line="240" w:lineRule="auto"/>
        <w:ind w:firstLine="0" w:left="0"/>
        <w:contextualSpacing w:val="1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показателей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2026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2030</w:t>
            </w:r>
          </w:p>
        </w:tc>
      </w:tr>
    </w:tbl>
    <w:p w14:paraId="0F060000">
      <w:pPr>
        <w:spacing w:after="0" w:line="240" w:lineRule="auto"/>
        <w:ind w:firstLine="0" w:left="0"/>
        <w:contextualSpacing w:val="1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организаций, использующих в производстве продукции научн</w:t>
            </w:r>
            <w:r>
              <w:rPr>
                <w:rFonts w:ascii="Times New Roman" w:hAnsi="Times New Roman"/>
                <w:sz w:val="28"/>
              </w:rPr>
              <w:t>о-</w:t>
            </w:r>
            <w:r>
              <w:rPr>
                <w:rFonts w:ascii="Times New Roman" w:hAnsi="Times New Roman"/>
                <w:sz w:val="28"/>
              </w:rPr>
              <w:t xml:space="preserve"> технологические разработки, в общей численности крупных и средних предприятий (процентов)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37,5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37,5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60000">
            <w:pPr>
              <w:widowControl w:val="0"/>
              <w:tabs>
                <w:tab w:leader="none" w:pos="426" w:val="left"/>
              </w:tabs>
              <w:spacing w:after="0" w:line="240" w:lineRule="auto"/>
              <w:ind w:firstLine="0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45,7</w:t>
            </w:r>
          </w:p>
        </w:tc>
      </w:tr>
    </w:tbl>
    <w:p w14:paraId="1A060000">
      <w:bookmarkStart w:id="54" w:name="__RefHeading___54"/>
      <w:bookmarkEnd w:id="54"/>
      <w:pPr>
        <w:pStyle w:val="Style_8"/>
      </w:pPr>
      <w:r>
        <w:t>4.6.1. Промышленность</w:t>
      </w:r>
    </w:p>
    <w:p w14:paraId="1B060000">
      <w:pPr>
        <w:pStyle w:val="Style_9"/>
      </w:pPr>
    </w:p>
    <w:p w14:paraId="1C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создание высокотехнологичного, экспортно-ориентированного и экологически устойчивого промышленного сектора, </w:t>
      </w:r>
      <w:r>
        <w:rPr>
          <w:rFonts w:ascii="Times New Roman" w:hAnsi="Times New Roman"/>
          <w:color w:val="000000"/>
          <w:sz w:val="28"/>
        </w:rPr>
        <w:t>основанного на глубокой переработке ресурсов, технологической модернизации и диверсификации, обеспечивающего занятость, экономическую безопасность и рост промышленного производства.</w:t>
      </w:r>
    </w:p>
    <w:p w14:paraId="1D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1E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Дефицит доступных заемных средств для финанс</w:t>
      </w:r>
      <w:r>
        <w:rPr>
          <w:rFonts w:ascii="Times New Roman" w:hAnsi="Times New Roman"/>
          <w:color w:val="000000"/>
          <w:sz w:val="28"/>
        </w:rPr>
        <w:t>ирования устойчивой производственной деятельности промышленных предприятий.</w:t>
      </w:r>
    </w:p>
    <w:p w14:paraId="1F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Дефицит высококвалифицированных кадров инженерных специальностей.</w:t>
      </w:r>
    </w:p>
    <w:p w14:paraId="20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В. Ключевые показатели эффективности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21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22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1. Поддержка инвестиционных проектов по созданию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и реконструкции производственных мощностей, а также создание условий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для стабильной производстве</w:t>
      </w:r>
      <w:r>
        <w:rPr>
          <w:rFonts w:ascii="Times New Roman" w:hAnsi="Times New Roman"/>
          <w:color w:val="000000"/>
          <w:sz w:val="28"/>
        </w:rPr>
        <w:t>нной деятельности промышленных предприятий района за счет обеспечения доступности средств:</w:t>
      </w:r>
    </w:p>
    <w:p w14:paraId="2306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привлечение инвестици</w:t>
      </w:r>
      <w:r>
        <w:rPr>
          <w:rFonts w:ascii="Times New Roman" w:hAnsi="Times New Roman"/>
          <w:color w:val="000000"/>
          <w:sz w:val="28"/>
        </w:rPr>
        <w:t xml:space="preserve">й на муниципальном уровне; </w:t>
      </w:r>
    </w:p>
    <w:p w14:paraId="2406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организация участия промышленных предприятий Обливского района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получении  региональных мер государственной поддержки.</w:t>
      </w:r>
    </w:p>
    <w:p w14:paraId="25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2. Повышение уровня подготовки квалифицированных кадров, повышение производительности труда:</w:t>
      </w:r>
    </w:p>
    <w:p w14:paraId="26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выявление кадровой потребности действующих промышленных </w:t>
      </w:r>
      <w:r>
        <w:rPr>
          <w:rFonts w:ascii="Times New Roman" w:hAnsi="Times New Roman"/>
          <w:sz w:val="28"/>
        </w:rPr>
        <w:t>предприятий, прогнозирование потребности инвесторов при реализации инвестиционных проектов.</w:t>
      </w:r>
    </w:p>
    <w:p w14:paraId="2706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28060000">
      <w:pPr>
        <w:widowControl w:val="0"/>
        <w:tabs>
          <w:tab w:leader="none" w:pos="426" w:val="left"/>
          <w:tab w:leader="none" w:pos="1276" w:val="left"/>
        </w:tabs>
        <w:spacing w:after="0" w:line="264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Комплексная подде</w:t>
      </w:r>
      <w:r>
        <w:rPr>
          <w:rFonts w:ascii="Times New Roman" w:hAnsi="Times New Roman"/>
          <w:sz w:val="28"/>
        </w:rPr>
        <w:t>ржка</w:t>
      </w:r>
      <w:r>
        <w:rPr>
          <w:rFonts w:ascii="Times New Roman" w:hAnsi="Times New Roman"/>
          <w:sz w:val="28"/>
        </w:rPr>
        <w:t xml:space="preserve"> промышленных предприятий.</w:t>
      </w:r>
    </w:p>
    <w:p w14:paraId="29060000">
      <w:pPr>
        <w:widowControl w:val="0"/>
        <w:spacing w:after="0" w:line="240" w:lineRule="auto"/>
        <w:ind w:firstLine="709" w:left="0"/>
        <w:jc w:val="both"/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sz w:val="28"/>
        </w:rPr>
        <w:t>Внедрение новых технологий в деятельность промышленных предприятий.</w:t>
      </w:r>
    </w:p>
    <w:p w14:paraId="2A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Повышение энергоэффективности производственных процессов.</w:t>
      </w:r>
    </w:p>
    <w:p w14:paraId="2B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</w:p>
    <w:p w14:paraId="2C060000">
      <w:pPr>
        <w:pStyle w:val="Style_6"/>
        <w:spacing w:after="0"/>
        <w:ind/>
      </w:pPr>
    </w:p>
    <w:p w14:paraId="2D060000">
      <w:pPr>
        <w:pStyle w:val="Style_6"/>
        <w:spacing w:after="0"/>
        <w:ind/>
      </w:pPr>
    </w:p>
    <w:p w14:paraId="2E060000">
      <w:pPr>
        <w:pStyle w:val="Style_6"/>
        <w:spacing w:after="0"/>
        <w:ind/>
      </w:pPr>
    </w:p>
    <w:p w14:paraId="2F060000">
      <w:pPr>
        <w:pStyle w:val="Style_6"/>
        <w:spacing w:after="0"/>
        <w:ind/>
      </w:pPr>
    </w:p>
    <w:p w14:paraId="30060000">
      <w:pPr>
        <w:pStyle w:val="Style_6"/>
        <w:spacing w:after="0"/>
        <w:ind/>
      </w:pPr>
    </w:p>
    <w:p w14:paraId="31060000">
      <w:bookmarkStart w:id="55" w:name="__RefHeading___55"/>
      <w:bookmarkEnd w:id="55"/>
      <w:pPr>
        <w:pStyle w:val="Style_6"/>
        <w:spacing w:after="0"/>
        <w:ind/>
      </w:pPr>
      <w:r>
        <w:t xml:space="preserve">4.7. Цифровая трансформация </w:t>
      </w:r>
    </w:p>
    <w:p w14:paraId="32060000">
      <w:bookmarkStart w:id="56" w:name="__RefHeading___56"/>
      <w:bookmarkEnd w:id="56"/>
      <w:pPr>
        <w:pStyle w:val="Style_6"/>
        <w:spacing w:after="0"/>
        <w:ind/>
      </w:pPr>
      <w:r>
        <w:t xml:space="preserve"> муниципального управления, </w:t>
      </w:r>
    </w:p>
    <w:p w14:paraId="33060000">
      <w:bookmarkStart w:id="57" w:name="__RefHeading___57"/>
      <w:bookmarkEnd w:id="57"/>
      <w:pPr>
        <w:pStyle w:val="Style_6"/>
        <w:spacing w:after="0"/>
        <w:ind/>
      </w:pPr>
      <w:r>
        <w:t xml:space="preserve">экономики и социальной сферы в Обливском районе </w:t>
      </w:r>
    </w:p>
    <w:p w14:paraId="34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Показатели реализации национальной цели:</w:t>
      </w:r>
    </w:p>
    <w:p w14:paraId="35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показателей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2030</w:t>
            </w:r>
          </w:p>
        </w:tc>
      </w:tr>
    </w:tbl>
    <w:p w14:paraId="3B060000">
      <w:pPr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8"/>
        <w:gridCol w:w="4923"/>
        <w:gridCol w:w="1433"/>
        <w:gridCol w:w="1433"/>
        <w:gridCol w:w="1350"/>
      </w:tblGrid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4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492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Доля организаций, использующих в производстве продукции научно- технологические разработки, в общей численности крупных и средних предприятий (процентов)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37,5</w:t>
            </w:r>
          </w:p>
        </w:tc>
        <w:tc>
          <w:tcPr>
            <w:tcW w:type="dxa" w:w="143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37,5</w:t>
            </w:r>
          </w:p>
        </w:tc>
        <w:tc>
          <w:tcPr>
            <w:tcW w:type="dxa" w:w="13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6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jc w:val="center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45,7</w:t>
            </w:r>
          </w:p>
        </w:tc>
      </w:tr>
    </w:tbl>
    <w:p w14:paraId="46060000">
      <w:bookmarkStart w:id="58" w:name="__RefHeading___58"/>
      <w:bookmarkEnd w:id="58"/>
      <w:pPr>
        <w:pStyle w:val="Style_8"/>
      </w:pPr>
      <w:r>
        <w:t>4.7.1. Информационно-коммуника</w:t>
      </w:r>
      <w:r>
        <w:t>ционные технологии и инфраструктура</w:t>
      </w:r>
    </w:p>
    <w:p w14:paraId="47060000">
      <w:pPr>
        <w:pStyle w:val="Style_9"/>
      </w:pPr>
    </w:p>
    <w:p w14:paraId="48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обеспечение свободного доступа граждан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организаций,  органов местного самоуправления к информационно-телекоммуникационной сети «Интернет»</w:t>
      </w:r>
      <w:r>
        <w:rPr>
          <w:rFonts w:ascii="Times New Roman" w:hAnsi="Times New Roman"/>
          <w:color w:val="000000"/>
          <w:sz w:val="28"/>
        </w:rPr>
        <w:t>и развитие сф</w:t>
      </w:r>
      <w:r>
        <w:rPr>
          <w:rFonts w:ascii="Times New Roman" w:hAnsi="Times New Roman"/>
          <w:color w:val="000000"/>
          <w:sz w:val="28"/>
        </w:rPr>
        <w:t>еры информационно-коммуникационных технологий.</w:t>
      </w:r>
    </w:p>
    <w:p w14:paraId="49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4A06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 Отсутствие возможности </w:t>
      </w:r>
      <w:r>
        <w:rPr>
          <w:rFonts w:ascii="Times New Roman" w:hAnsi="Times New Roman"/>
          <w:color w:val="000000"/>
          <w:sz w:val="28"/>
        </w:rPr>
        <w:t>подключения к высокоскоростной сети «Интернет» у собственников частных домовладений в малочисленных населенных пунктах, подпадающих под реализацию проекта устранения цифрового неравенства (УЦН) (численность от 100 до 1000 человек).</w:t>
      </w:r>
    </w:p>
    <w:p w14:paraId="4B060000">
      <w:pPr>
        <w:widowControl w:val="0"/>
        <w:spacing w:after="0" w:before="0" w:line="264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Отсутствие возможност</w:t>
      </w:r>
      <w:r>
        <w:rPr>
          <w:rFonts w:ascii="Times New Roman" w:hAnsi="Times New Roman"/>
          <w:color w:val="000000"/>
          <w:sz w:val="28"/>
        </w:rPr>
        <w:t>и подключения к высокоскоростной сети «Интернет» у собственников частных домовладений в малочисленных населенных пунктах, не подпадающих под реализацию проекта УЦН (численность менее 100 человек).</w:t>
      </w:r>
    </w:p>
    <w:p w14:paraId="4C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 Высокая стоимость точки подвеса волокно-оптических линий</w:t>
      </w:r>
      <w:r>
        <w:rPr>
          <w:rFonts w:ascii="Times New Roman" w:hAnsi="Times New Roman"/>
          <w:color w:val="000000"/>
          <w:sz w:val="28"/>
        </w:rPr>
        <w:t xml:space="preserve"> связи (ВОЛС), установленная балансодержателями опор.</w:t>
      </w:r>
    </w:p>
    <w:p w14:paraId="4D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4. Высокая стоимость аренды канала связи ПАО «Ростелеком»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населенных пунктах, в которых построены объекты связи в рамках проекта УЦН (устранение цифрового неравенства).</w:t>
      </w:r>
    </w:p>
    <w:p w14:paraId="4E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В. Ключевые показатели эффективности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</w:t>
      </w:r>
      <w:r>
        <w:rPr>
          <w:rFonts w:ascii="Times New Roman" w:hAnsi="Times New Roman"/>
          <w:color w:val="000000"/>
          <w:sz w:val="28"/>
        </w:rPr>
        <w:t>.</w:t>
      </w:r>
    </w:p>
    <w:p w14:paraId="4F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50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Задача 1. Строительство операторами связи распределительных сетей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населенных пунктах, подпадающих под реализацию проекта УЦН:</w:t>
      </w:r>
    </w:p>
    <w:p w14:paraId="5106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проведения схода граждан для определения заинтере</w:t>
      </w:r>
      <w:r>
        <w:rPr>
          <w:rFonts w:ascii="Times New Roman" w:hAnsi="Times New Roman"/>
          <w:color w:val="000000"/>
          <w:sz w:val="28"/>
        </w:rPr>
        <w:t>сованных лиц;</w:t>
      </w:r>
    </w:p>
    <w:p w14:paraId="5206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организация выделения земельных участков для строительства распределительных сетей;</w:t>
      </w:r>
    </w:p>
    <w:p w14:paraId="5306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информирование граждан о наличии технической возможности подключения к высокоскоростной сети «Интернет».</w:t>
      </w:r>
    </w:p>
    <w:p w14:paraId="54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2. Развитие цифровой инфраструктуры для обеспечения равного доступа населения и организаций к современным информационно-коммуникационным услугам: </w:t>
      </w:r>
    </w:p>
    <w:p w14:paraId="5506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повышение доступности устойчивого </w:t>
      </w:r>
      <w:r>
        <w:rPr>
          <w:rFonts w:ascii="Times New Roman" w:hAnsi="Times New Roman"/>
          <w:sz w:val="28"/>
        </w:rPr>
        <w:t>интернет-соединения</w:t>
      </w:r>
      <w:r>
        <w:rPr>
          <w:rFonts w:ascii="Times New Roman" w:hAnsi="Times New Roman"/>
          <w:sz w:val="28"/>
        </w:rPr>
        <w:t xml:space="preserve"> в малонаселенных и сельских территориях района;</w:t>
      </w:r>
    </w:p>
    <w:p w14:paraId="5606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расширение охвата мобильной связью и внедрение современных стандартов передачи данных на всей территории района; </w:t>
      </w:r>
    </w:p>
    <w:p w14:paraId="5706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обеспечение цифровой доступности социально значимых объектов, включая учреждения образования, здравоохранения и социальной защиты;</w:t>
      </w:r>
    </w:p>
    <w:p w14:paraId="5806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надежности и устойчивости цифровой инфраструктуры района, включая обеспечение резервирования и бесперебойности услуг связи.</w:t>
      </w:r>
    </w:p>
    <w:p w14:paraId="59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5A060000">
      <w:pPr>
        <w:widowControl w:val="0"/>
        <w:tabs>
          <w:tab w:leader="none" w:pos="426" w:val="left"/>
          <w:tab w:leader="none" w:pos="1276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Использование цифрового оборудования телефонных станций.</w:t>
      </w:r>
    </w:p>
    <w:p w14:paraId="5B060000">
      <w:pPr>
        <w:widowControl w:val="0"/>
        <w:tabs>
          <w:tab w:leader="none" w:pos="426" w:val="left"/>
          <w:tab w:leader="none" w:pos="1276" w:val="left"/>
        </w:tabs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Замена аналогового оборудования телефонных станций на </w:t>
      </w:r>
      <w:r>
        <w:rPr>
          <w:rFonts w:ascii="Times New Roman" w:hAnsi="Times New Roman"/>
          <w:sz w:val="28"/>
        </w:rPr>
        <w:t>цифровое</w:t>
      </w:r>
      <w:r>
        <w:rPr>
          <w:rFonts w:ascii="Times New Roman" w:hAnsi="Times New Roman"/>
          <w:sz w:val="28"/>
        </w:rPr>
        <w:t>.</w:t>
      </w:r>
    </w:p>
    <w:p w14:paraId="5C06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 Поддержка и развитие предоставления государственных услуг в электронном </w:t>
      </w:r>
      <w:r>
        <w:rPr>
          <w:rFonts w:ascii="Times New Roman" w:hAnsi="Times New Roman"/>
          <w:sz w:val="28"/>
        </w:rPr>
        <w:t>виде.</w:t>
      </w:r>
    </w:p>
    <w:p w14:paraId="5D06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Обеспечение широкополосного доступа домохозяйств, организаций социальной сферы и государственного, муниципального управления к информационно-телекоммуникационной сети «Интернет». Увеличение доли домохозяйств, которым обеспечена возможность широкополосного доступа к сети «Интернет».</w:t>
      </w:r>
    </w:p>
    <w:p w14:paraId="5E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Перевод большинства очных обращений за получением услуг в МФЦ.</w:t>
      </w:r>
    </w:p>
    <w:p w14:paraId="5F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Продолжить работу по оборудованию общественного транспорта Обливского района системы бесконтактной оплаты проезда.</w:t>
      </w:r>
    </w:p>
    <w:p w14:paraId="60060000">
      <w:pPr>
        <w:spacing w:after="0"/>
        <w:ind w:firstLine="709" w:left="0"/>
      </w:pPr>
    </w:p>
    <w:p w14:paraId="61060000">
      <w:bookmarkStart w:id="59" w:name="__RefHeading___59"/>
      <w:bookmarkEnd w:id="59"/>
      <w:pPr>
        <w:pStyle w:val="Style_8"/>
      </w:pPr>
      <w:r>
        <w:t>4.7.2. Цифровизация государственного и муниципального управления</w:t>
      </w:r>
    </w:p>
    <w:p w14:paraId="62060000">
      <w:pPr>
        <w:pStyle w:val="Style_8"/>
      </w:pPr>
      <w:r>
        <w:t xml:space="preserve"> </w:t>
      </w:r>
    </w:p>
    <w:p w14:paraId="63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А. Стратегическая цель – создание интегрированной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высокоэффективной системы  муниципального управления и предоставления услуг с</w:t>
      </w:r>
      <w:r>
        <w:rPr>
          <w:rFonts w:ascii="Times New Roman" w:hAnsi="Times New Roman"/>
          <w:color w:val="000000"/>
          <w:sz w:val="28"/>
        </w:rPr>
        <w:t xml:space="preserve">оциальной сферы, основанной </w:t>
      </w:r>
      <w:r>
        <w:rPr>
          <w:rFonts w:ascii="Times New Roman" w:hAnsi="Times New Roman"/>
          <w:color w:val="000000"/>
          <w:sz w:val="28"/>
        </w:rPr>
        <w:t xml:space="preserve">на цифровых технологиях, для обеспечения доступности, прозрачности </w:t>
      </w:r>
      <w:r>
        <w:rPr>
          <w:rFonts w:ascii="Times New Roman" w:hAnsi="Times New Roman"/>
          <w:color w:val="000000"/>
          <w:sz w:val="28"/>
        </w:rPr>
        <w:t>и качества предоставляемых услуг населению,для обеспечения оптимальных условий развития крупно</w:t>
      </w:r>
      <w:r>
        <w:rPr>
          <w:rFonts w:ascii="Times New Roman" w:hAnsi="Times New Roman"/>
          <w:color w:val="000000"/>
          <w:sz w:val="28"/>
        </w:rPr>
        <w:t xml:space="preserve">го, среднего и малого предпринимательства, </w:t>
      </w:r>
      <w:r>
        <w:rPr>
          <w:rFonts w:ascii="Times New Roman" w:hAnsi="Times New Roman"/>
          <w:color w:val="000000"/>
          <w:sz w:val="28"/>
        </w:rPr>
        <w:t>для поддержки инициатив гражданского общества и активного вовлечения граждан в процессы управления и принятия решений.</w:t>
      </w:r>
    </w:p>
    <w:p w14:paraId="64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65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Недостаточный уровень использования в работе МФЦ передовых клиентоори</w:t>
      </w:r>
      <w:r>
        <w:rPr>
          <w:rFonts w:ascii="Times New Roman" w:hAnsi="Times New Roman"/>
          <w:color w:val="000000"/>
          <w:sz w:val="28"/>
        </w:rPr>
        <w:t>ентированных технологий.</w:t>
      </w:r>
    </w:p>
    <w:p w14:paraId="66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 Значительный объем бумажного документооборота между МФЦ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органами власти.</w:t>
      </w:r>
    </w:p>
    <w:p w14:paraId="67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 xml:space="preserve">В. Ключевые показатели эффективности </w:t>
      </w:r>
      <w:r>
        <w:rPr>
          <w:rFonts w:ascii="Times New Roman" w:hAnsi="Times New Roman"/>
          <w:color w:val="000000"/>
          <w:sz w:val="28"/>
        </w:rPr>
        <w:t xml:space="preserve">представлены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68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69060000">
      <w:pPr>
        <w:pStyle w:val="Style_9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1. Создание гибкой и оперативной среды в МФЦ:</w:t>
      </w:r>
    </w:p>
    <w:p w14:paraId="6A060000">
      <w:pPr>
        <w:pStyle w:val="Style_9"/>
        <w:widowControl w:val="0"/>
        <w:tabs>
          <w:tab w:leader="none" w:pos="720" w:val="clear"/>
          <w:tab w:leader="none" w:pos="993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ежегодное обучение руководителей и (или) работников МФЦ проектному управлению, принципам клиентоцентричности, стресс-менеджменту;</w:t>
      </w:r>
    </w:p>
    <w:p w14:paraId="6B060000">
      <w:pPr>
        <w:pStyle w:val="Style_9"/>
        <w:widowControl w:val="0"/>
        <w:tabs>
          <w:tab w:leader="none" w:pos="720" w:val="clear"/>
          <w:tab w:leader="none" w:pos="993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внедрение современных сервисных технологий в процессы предоставления государственных и муниципальных услуг;</w:t>
      </w:r>
    </w:p>
    <w:p w14:paraId="6C060000">
      <w:pPr>
        <w:pStyle w:val="Style_9"/>
        <w:widowControl w:val="0"/>
        <w:tabs>
          <w:tab w:leader="none" w:pos="720" w:val="clear"/>
          <w:tab w:leader="none" w:pos="993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использование современных механизмов адаптации новых работников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наставничества, мотивация персонала;</w:t>
      </w:r>
    </w:p>
    <w:p w14:paraId="6D060000">
      <w:pPr>
        <w:pStyle w:val="Style_9"/>
        <w:widowControl w:val="0"/>
        <w:tabs>
          <w:tab w:leader="none" w:pos="720" w:val="clear"/>
          <w:tab w:leader="none" w:pos="993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показателей индивидуальной эффективности работников МФЦ при применении инструментов мотивации;</w:t>
      </w:r>
    </w:p>
    <w:p w14:paraId="6E060000">
      <w:pPr>
        <w:pStyle w:val="Style_9"/>
        <w:widowControl w:val="0"/>
        <w:tabs>
          <w:tab w:leader="none" w:pos="720" w:val="clear"/>
          <w:tab w:leader="none" w:pos="993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инвентаризация и реинжиниринг бизнес-процессов, реализуемых в МФЦ.</w:t>
      </w:r>
    </w:p>
    <w:p w14:paraId="6F060000">
      <w:pPr>
        <w:pStyle w:val="Style_9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Задача 2. Оптимизация деятельности МФЦ посредством перехода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к цифровому безбумажному взаимодействию с государственными (муниципальными) органами и организациями, заявителями:</w:t>
      </w:r>
    </w:p>
    <w:p w14:paraId="70060000">
      <w:pPr>
        <w:pStyle w:val="Style_9"/>
        <w:widowControl w:val="0"/>
        <w:tabs>
          <w:tab w:leader="none" w:pos="720" w:val="clear"/>
          <w:tab w:leader="none" w:pos="993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подготовка предложений по совершенствованию действующего отраслевого законодательства и ведомственных подзаконных актов в части снижения административных барьеров, препятствующих организации полноценного электронного документооборота МФЦ с органами, предоставляющими государственные услуги; органами, предоставляющими муниципальные услуги, подведомственными государственным органам или органам местного самоуправления организациями, иными государственными органами, органами местного самоуправления, органами государственных внебюджетных фондов;</w:t>
      </w:r>
    </w:p>
    <w:p w14:paraId="71060000">
      <w:pPr>
        <w:pStyle w:val="Style_9"/>
        <w:widowControl w:val="0"/>
        <w:tabs>
          <w:tab w:leader="none" w:pos="720" w:val="clear"/>
          <w:tab w:leader="none" w:pos="993" w:val="left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внедрение новых механизмов юридически значимого безбумажного документооборота между МФЦ и органами власти.</w:t>
      </w:r>
    </w:p>
    <w:p w14:paraId="72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Стратегические проектные инициативы:</w:t>
      </w:r>
    </w:p>
    <w:p w14:paraId="73060000">
      <w:pPr>
        <w:pStyle w:val="Style_9"/>
        <w:widowControl w:val="0"/>
        <w:tabs>
          <w:tab w:leader="none" w:pos="426" w:val="left"/>
          <w:tab w:leader="none" w:pos="720" w:val="clear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Перевод большинства очных обращений за получением услуг в МФЦ.</w:t>
      </w:r>
    </w:p>
    <w:p w14:paraId="74060000">
      <w:pPr>
        <w:pStyle w:val="Style_9"/>
        <w:widowControl w:val="0"/>
        <w:tabs>
          <w:tab w:leader="none" w:pos="426" w:val="left"/>
          <w:tab w:leader="none" w:pos="720" w:val="clear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Обеспечение возможности получения большинства услуг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по экстерриториальному принципу.</w:t>
      </w:r>
    </w:p>
    <w:p w14:paraId="75060000">
      <w:pPr>
        <w:pStyle w:val="Style_9"/>
        <w:widowControl w:val="0"/>
        <w:tabs>
          <w:tab w:leader="none" w:pos="426" w:val="left"/>
          <w:tab w:leader="none" w:pos="720" w:val="clear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Повышение клиентоориентированности очных и электронных каналов получения услуг.</w:t>
      </w:r>
    </w:p>
    <w:p w14:paraId="76060000">
      <w:pPr>
        <w:pStyle w:val="Style_9"/>
        <w:widowControl w:val="0"/>
        <w:tabs>
          <w:tab w:leader="none" w:pos="426" w:val="left"/>
          <w:tab w:leader="none" w:pos="720" w:val="clear"/>
          <w:tab w:leader="none" w:pos="1276" w:val="left"/>
        </w:tabs>
        <w:spacing w:after="0" w:before="0" w:line="240" w:lineRule="auto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 Обеспечение консультативно-методической поддержки на ЕПГУ 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в рамках оказания государственных и муниципальных услуг с использованием Цифрового ассистента.</w:t>
      </w:r>
    </w:p>
    <w:p w14:paraId="77060000">
      <w:pPr>
        <w:pStyle w:val="Style_7"/>
        <w:widowControl w:val="0"/>
        <w:spacing w:after="0" w:before="0" w:line="240" w:lineRule="auto"/>
        <w:ind/>
        <w:jc w:val="center"/>
        <w:rPr>
          <w:rFonts w:ascii="Times New Roman" w:hAnsi="Times New Roman"/>
          <w:b w:val="0"/>
          <w:color w:val="CF543F"/>
          <w:sz w:val="28"/>
        </w:rPr>
      </w:pPr>
    </w:p>
    <w:p w14:paraId="78060000">
      <w:bookmarkStart w:id="60" w:name="__RefHeading___60"/>
      <w:bookmarkEnd w:id="60"/>
      <w:pPr>
        <w:pStyle w:val="Style_6"/>
        <w:spacing w:after="0"/>
        <w:ind/>
      </w:pPr>
      <w:r>
        <w:t xml:space="preserve">5. Система управления </w:t>
      </w:r>
    </w:p>
    <w:p w14:paraId="79060000">
      <w:bookmarkStart w:id="61" w:name="__RefHeading___61"/>
      <w:bookmarkEnd w:id="61"/>
      <w:pPr>
        <w:pStyle w:val="Style_6"/>
        <w:spacing w:after="0"/>
        <w:ind/>
      </w:pPr>
      <w:r>
        <w:t xml:space="preserve">и ресурсное обеспечение реализации Стратегии </w:t>
      </w:r>
    </w:p>
    <w:p w14:paraId="7A060000">
      <w:bookmarkStart w:id="62" w:name="__RefHeading___62"/>
      <w:bookmarkEnd w:id="62"/>
      <w:pPr>
        <w:pStyle w:val="Style_8"/>
        <w:widowControl w:val="0"/>
        <w:spacing w:before="0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5.1. Политика в сфере </w:t>
      </w:r>
    </w:p>
    <w:p w14:paraId="7B060000">
      <w:bookmarkStart w:id="63" w:name="__RefHeading___63"/>
      <w:bookmarkEnd w:id="63"/>
      <w:pPr>
        <w:pStyle w:val="Style_8"/>
        <w:widowControl w:val="0"/>
        <w:spacing w:before="0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муниципального управления</w:t>
      </w:r>
    </w:p>
    <w:p w14:paraId="7C06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7D060000">
      <w:pPr>
        <w:widowControl w:val="0"/>
        <w:tabs>
          <w:tab w:leader="none" w:pos="426" w:val="left"/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создание устойчивой системы управления социально-экономическим развитием территорий Обливского района</w:t>
      </w:r>
      <w:r>
        <w:rPr>
          <w:rFonts w:ascii="Times New Roman" w:hAnsi="Times New Roman"/>
          <w:color w:val="000000"/>
          <w:sz w:val="28"/>
        </w:rPr>
        <w:t>.</w:t>
      </w:r>
    </w:p>
    <w:p w14:paraId="7E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Ключевой проблемой является высокая степень дифференциации социально-экономического положения муниципальных образований, недостаточный уровень взаимодействия населения с органами местного самоуправления.</w:t>
      </w:r>
    </w:p>
    <w:p w14:paraId="7F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В. Ключевые показатели</w:t>
      </w:r>
      <w:r>
        <w:rPr>
          <w:rFonts w:ascii="Times New Roman" w:hAnsi="Times New Roman"/>
          <w:color w:val="000000"/>
          <w:sz w:val="28"/>
        </w:rPr>
        <w:t xml:space="preserve"> эффективности </w:t>
      </w:r>
      <w:r>
        <w:rPr>
          <w:rFonts w:ascii="Times New Roman" w:hAnsi="Times New Roman"/>
          <w:color w:val="000000"/>
          <w:sz w:val="28"/>
        </w:rPr>
        <w:t>п</w:t>
      </w:r>
      <w:r>
        <w:rPr>
          <w:rFonts w:ascii="Times New Roman" w:hAnsi="Times New Roman"/>
          <w:color w:val="000000"/>
          <w:sz w:val="28"/>
        </w:rPr>
        <w:t xml:space="preserve">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8006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Г. Приоритетные задачи.</w:t>
      </w:r>
    </w:p>
    <w:p w14:paraId="8106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 Создание устойчивой системы местного самоуправления, способной эффективно удовлетворять потребности населения за счет сбалансированного развития экономики и активного вовлечен</w:t>
      </w:r>
      <w:r>
        <w:rPr>
          <w:rFonts w:ascii="Times New Roman" w:hAnsi="Times New Roman"/>
          <w:color w:val="000000"/>
          <w:sz w:val="28"/>
        </w:rPr>
        <w:t xml:space="preserve">ия граждан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процессы управления территорией:</w:t>
      </w:r>
    </w:p>
    <w:p w14:paraId="8206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стимулирование органов местного самоуправления к наращиванию собственного экономического потенциала;</w:t>
      </w:r>
    </w:p>
    <w:p w14:paraId="83060000">
      <w:pPr>
        <w:widowControl w:val="0"/>
        <w:tabs>
          <w:tab w:leader="none" w:pos="993" w:val="left"/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стимулирование органов местного самоуправления к развитию территориального общественного самоуправления.</w:t>
      </w:r>
    </w:p>
    <w:p w14:paraId="84060000">
      <w:pPr>
        <w:widowControl w:val="0"/>
        <w:tabs>
          <w:tab w:leader="none" w:pos="426" w:val="left"/>
          <w:tab w:leader="none" w:pos="1418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Д. Стра</w:t>
      </w:r>
      <w:r>
        <w:rPr>
          <w:rFonts w:ascii="Times New Roman" w:hAnsi="Times New Roman"/>
          <w:color w:val="000000"/>
          <w:sz w:val="28"/>
        </w:rPr>
        <w:t xml:space="preserve">тегические проектные инициативы: </w:t>
      </w:r>
    </w:p>
    <w:p w14:paraId="8506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Оценка эффективности деятельности органов местного самоуправления.</w:t>
      </w:r>
    </w:p>
    <w:p w14:paraId="8606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</w:t>
      </w:r>
      <w:r>
        <w:rPr>
          <w:rFonts w:ascii="Times New Roman" w:hAnsi="Times New Roman"/>
          <w:sz w:val="28"/>
        </w:rPr>
        <w:t>Организация участия в</w:t>
      </w:r>
      <w:r>
        <w:rPr>
          <w:rFonts w:ascii="Times New Roman" w:hAnsi="Times New Roman"/>
          <w:sz w:val="28"/>
        </w:rPr>
        <w:t xml:space="preserve"> областно</w:t>
      </w:r>
      <w:r>
        <w:rPr>
          <w:rFonts w:ascii="Times New Roman" w:hAnsi="Times New Roman"/>
          <w:sz w:val="28"/>
        </w:rPr>
        <w:t>м</w:t>
      </w:r>
      <w:r>
        <w:rPr>
          <w:rFonts w:ascii="Times New Roman" w:hAnsi="Times New Roman"/>
          <w:sz w:val="28"/>
        </w:rPr>
        <w:t xml:space="preserve"> конкурс</w:t>
      </w:r>
      <w:r>
        <w:rPr>
          <w:rFonts w:ascii="Times New Roman" w:hAnsi="Times New Roman"/>
          <w:sz w:val="28"/>
        </w:rPr>
        <w:t>е</w:t>
      </w:r>
      <w:r>
        <w:rPr>
          <w:rFonts w:ascii="Times New Roman" w:hAnsi="Times New Roman"/>
          <w:sz w:val="28"/>
        </w:rPr>
        <w:t xml:space="preserve"> на звание «Лучшее поселение Ростовской области».</w:t>
      </w:r>
    </w:p>
    <w:p w14:paraId="8706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</w:t>
      </w:r>
      <w:r>
        <w:rPr>
          <w:rFonts w:ascii="Times New Roman" w:hAnsi="Times New Roman"/>
          <w:sz w:val="28"/>
        </w:rPr>
        <w:t xml:space="preserve">Организация участия в областном конкурсе </w:t>
      </w:r>
      <w:r>
        <w:rPr>
          <w:rFonts w:ascii="Times New Roman" w:hAnsi="Times New Roman"/>
          <w:sz w:val="28"/>
        </w:rPr>
        <w:t>на звание «Лучшее территориальное общественное самоуправление в Ростовской области».</w:t>
      </w:r>
    </w:p>
    <w:p w14:paraId="8806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 Инициативное бюджетирование «Сделаем вместе» – поддержка инициатив жителей.</w:t>
      </w:r>
    </w:p>
    <w:p w14:paraId="89060000">
      <w:pPr>
        <w:widowControl w:val="0"/>
        <w:tabs>
          <w:tab w:leader="none" w:pos="426" w:val="left"/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8A060000">
      <w:bookmarkStart w:id="64" w:name="__RefHeading___64"/>
      <w:bookmarkEnd w:id="64"/>
      <w:pPr>
        <w:pStyle w:val="Style_8"/>
        <w:widowControl w:val="0"/>
        <w:spacing w:before="0"/>
        <w:ind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5.2. Кадровая политика в</w:t>
      </w:r>
      <w:r>
        <w:rPr>
          <w:rFonts w:ascii="Times New Roman" w:hAnsi="Times New Roman"/>
          <w:color w:val="000000"/>
        </w:rPr>
        <w:t xml:space="preserve"> муниципальном управлении</w:t>
      </w:r>
    </w:p>
    <w:p w14:paraId="8B060000">
      <w:pPr>
        <w:pStyle w:val="Style_9"/>
      </w:pPr>
    </w:p>
    <w:p w14:paraId="8C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А. Стратегическая цель – повышение эффективности формирования кадрового состава на муниципальной службе Обливского района в рамках цифровой трансформации, а также совершенствование имиджа института муниципальной</w:t>
      </w:r>
      <w:r>
        <w:rPr>
          <w:rFonts w:ascii="Times New Roman" w:hAnsi="Times New Roman"/>
          <w:color w:val="000000"/>
          <w:sz w:val="28"/>
        </w:rPr>
        <w:t xml:space="preserve"> службы.</w:t>
      </w:r>
    </w:p>
    <w:p w14:paraId="8D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Б. Ключевые проблемы:</w:t>
      </w:r>
    </w:p>
    <w:p w14:paraId="8E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 Недостаточная информационная открытость муниципальной службы в Обливском районе.</w:t>
      </w:r>
    </w:p>
    <w:p w14:paraId="8F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 Недостаточные функциональные возможности использования модулей единой цифровой платформы (федеральной государст</w:t>
      </w:r>
      <w:r>
        <w:rPr>
          <w:rFonts w:ascii="Times New Roman" w:hAnsi="Times New Roman"/>
          <w:color w:val="000000"/>
          <w:sz w:val="28"/>
        </w:rPr>
        <w:t>венной информационной системы в области государственной службы) в кадровой работе.</w:t>
      </w:r>
    </w:p>
    <w:p w14:paraId="90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В. Ключевые показатели</w:t>
      </w:r>
      <w:r>
        <w:rPr>
          <w:rFonts w:ascii="Times New Roman" w:hAnsi="Times New Roman"/>
          <w:color w:val="000000"/>
          <w:sz w:val="28"/>
        </w:rPr>
        <w:t xml:space="preserve"> эффективности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 xml:space="preserve">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9106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color w:val="000000"/>
        </w:rPr>
        <w:t xml:space="preserve"> </w:t>
      </w:r>
      <w:r>
        <w:rPr>
          <w:rFonts w:ascii="Times New Roman" w:hAnsi="Times New Roman"/>
          <w:color w:val="000000"/>
          <w:sz w:val="28"/>
        </w:rPr>
        <w:t>Г.Приоритетные задачи.</w:t>
      </w:r>
    </w:p>
    <w:p w14:paraId="9206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Задача 1. Повышение престижа муниципальной службы в Обливском районе</w:t>
      </w:r>
      <w:r>
        <w:rPr>
          <w:rFonts w:ascii="Times New Roman" w:hAnsi="Times New Roman"/>
          <w:color w:val="000000"/>
          <w:sz w:val="28"/>
        </w:rPr>
        <w:t>:</w:t>
      </w:r>
    </w:p>
    <w:p w14:paraId="9306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повышение открытости и прозрачности муниципальной  службы в Обливском районе;</w:t>
      </w:r>
    </w:p>
    <w:p w14:paraId="94060000">
      <w:pPr>
        <w:widowControl w:val="0"/>
        <w:tabs>
          <w:tab w:leader="none" w:pos="993" w:val="left"/>
          <w:tab w:leader="none" w:pos="1134" w:val="left"/>
        </w:tabs>
        <w:spacing w:after="0" w:before="0" w:line="252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соверше</w:t>
      </w:r>
      <w:r>
        <w:rPr>
          <w:rFonts w:ascii="Times New Roman" w:hAnsi="Times New Roman"/>
          <w:color w:val="000000"/>
          <w:sz w:val="28"/>
        </w:rPr>
        <w:t>нствование отбора на должности муниципальной службы в Обливском районе.</w:t>
      </w:r>
    </w:p>
    <w:p w14:paraId="9506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Д. Стратегические проектные инициативы: </w:t>
      </w:r>
    </w:p>
    <w:p w14:paraId="96060000">
      <w:pPr>
        <w:widowControl w:val="0"/>
        <w:numPr>
          <w:numId w:val="3"/>
        </w:numPr>
        <w:tabs>
          <w:tab w:leader="none" w:pos="1276" w:val="left"/>
        </w:tabs>
        <w:spacing w:after="0" w:before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Пополнение и эффективное  использование  кадрового резерва Администрации Обливского района.</w:t>
      </w:r>
    </w:p>
    <w:p w14:paraId="97060000">
      <w:pPr>
        <w:widowControl w:val="0"/>
        <w:tabs>
          <w:tab w:leader="none" w:pos="1276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98060000">
      <w:bookmarkStart w:id="65" w:name="__RefHeading___65"/>
      <w:bookmarkEnd w:id="65"/>
      <w:pPr>
        <w:pStyle w:val="Style_6"/>
      </w:pPr>
      <w:r>
        <w:t xml:space="preserve">5.3. Финансовая и бюджетная </w:t>
      </w:r>
      <w:r>
        <w:t>политика</w:t>
      </w:r>
    </w:p>
    <w:p w14:paraId="99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А. Стратегической целью бюджетной политики является сбалансированность бюджета и устойчивость бюджетной системы.</w:t>
      </w:r>
    </w:p>
    <w:p w14:paraId="9A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Сохранение стабильности бюджетной системы в целях выполнения обязательств перед жителями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, повышение качества жизни, развитие социальной сферы и инфраструктуры – главные приоритеты бюджетной политики. </w:t>
      </w:r>
    </w:p>
    <w:p w14:paraId="9B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а среднесрочную перспективу 2026 – 2028</w:t>
      </w:r>
      <w:r>
        <w:rPr>
          <w:rFonts w:ascii="Times New Roman" w:hAnsi="Times New Roman"/>
          <w:sz w:val="28"/>
        </w:rPr>
        <w:t xml:space="preserve"> годов основные направления бюджетной и налоговой политики утверждены постановлением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от 30.10.2025 № 477</w:t>
      </w:r>
      <w:r>
        <w:rPr>
          <w:rFonts w:ascii="Times New Roman" w:hAnsi="Times New Roman"/>
          <w:sz w:val="28"/>
        </w:rPr>
        <w:t>.</w:t>
      </w:r>
    </w:p>
    <w:p w14:paraId="9C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Достижение целей по обеспечению сбалансированности бюджета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, выравниванию бюджетной обеспеченности муниципальных образований, предусмотрено также </w:t>
      </w:r>
      <w:r>
        <w:rPr>
          <w:rFonts w:ascii="Times New Roman" w:hAnsi="Times New Roman"/>
          <w:sz w:val="28"/>
        </w:rPr>
        <w:t>муниципальной</w:t>
      </w:r>
      <w:r>
        <w:rPr>
          <w:rFonts w:ascii="Times New Roman" w:hAnsi="Times New Roman"/>
          <w:sz w:val="28"/>
        </w:rPr>
        <w:t xml:space="preserve"> программой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 xml:space="preserve">Управление </w:t>
      </w:r>
      <w:r>
        <w:rPr>
          <w:rFonts w:ascii="Times New Roman" w:hAnsi="Times New Roman"/>
          <w:sz w:val="28"/>
        </w:rPr>
        <w:t xml:space="preserve">муниципальными </w:t>
      </w:r>
      <w:r>
        <w:rPr>
          <w:rFonts w:ascii="Times New Roman" w:hAnsi="Times New Roman"/>
          <w:sz w:val="28"/>
        </w:rPr>
        <w:t xml:space="preserve">финансами», утвержденной постановлением </w:t>
      </w:r>
      <w:r>
        <w:rPr>
          <w:rFonts w:ascii="Times New Roman" w:hAnsi="Times New Roman"/>
          <w:sz w:val="28"/>
        </w:rPr>
        <w:t xml:space="preserve">Администрации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</w:t>
      </w: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29.11.2018 № 402</w:t>
      </w:r>
      <w:r>
        <w:rPr>
          <w:rFonts w:ascii="Times New Roman" w:hAnsi="Times New Roman"/>
          <w:sz w:val="28"/>
        </w:rPr>
        <w:t>.</w:t>
      </w:r>
    </w:p>
    <w:p w14:paraId="9D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Б. Ключевые проблемы:</w:t>
      </w:r>
    </w:p>
    <w:p w14:paraId="9E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Замедление темпов роста поступлений по налоговым и неналоговым доходам.</w:t>
      </w:r>
    </w:p>
    <w:p w14:paraId="9F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 Обеспечение сбалансированности </w:t>
      </w:r>
      <w:r>
        <w:rPr>
          <w:rFonts w:ascii="Times New Roman" w:hAnsi="Times New Roman"/>
          <w:sz w:val="28"/>
        </w:rPr>
        <w:t xml:space="preserve">бюджета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 условиях сложившейся экономической ситуации</w:t>
      </w:r>
      <w:r>
        <w:rPr>
          <w:rFonts w:ascii="Times New Roman" w:hAnsi="Times New Roman"/>
          <w:sz w:val="28"/>
        </w:rPr>
        <w:t>.</w:t>
      </w:r>
    </w:p>
    <w:p w14:paraId="A0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  <w:shd w:fill="FFD821" w:val="clear"/>
        </w:rPr>
      </w:pPr>
      <w:r>
        <w:rPr>
          <w:rFonts w:ascii="Times New Roman" w:hAnsi="Times New Roman"/>
          <w:color w:val="000000"/>
          <w:sz w:val="28"/>
        </w:rPr>
        <w:t>В. Ключевые показатели</w:t>
      </w:r>
      <w:r>
        <w:rPr>
          <w:rFonts w:ascii="Times New Roman" w:hAnsi="Times New Roman"/>
          <w:color w:val="000000"/>
          <w:sz w:val="28"/>
        </w:rPr>
        <w:t xml:space="preserve"> эффективности</w:t>
      </w:r>
      <w:r>
        <w:rPr>
          <w:rFonts w:ascii="Times New Roman" w:hAnsi="Times New Roman"/>
          <w:color w:val="000000"/>
          <w:sz w:val="28"/>
        </w:rPr>
        <w:t xml:space="preserve"> п</w:t>
      </w:r>
      <w:r>
        <w:rPr>
          <w:rFonts w:ascii="Times New Roman" w:hAnsi="Times New Roman"/>
          <w:color w:val="000000"/>
          <w:sz w:val="28"/>
        </w:rPr>
        <w:t xml:space="preserve">редставлены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в приложении № 8.</w:t>
      </w:r>
    </w:p>
    <w:p w14:paraId="A1060000">
      <w:pPr>
        <w:widowControl w:val="0"/>
        <w:tabs>
          <w:tab w:leader="none" w:pos="1276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Приоритетные задачи.</w:t>
      </w:r>
    </w:p>
    <w:p w14:paraId="A2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 xml:space="preserve">беспечение наполняемости консолидированного бюджета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собственными доходами</w:t>
      </w:r>
      <w:r>
        <w:rPr>
          <w:rFonts w:ascii="Times New Roman" w:hAnsi="Times New Roman"/>
          <w:sz w:val="28"/>
        </w:rPr>
        <w:t>:</w:t>
      </w:r>
    </w:p>
    <w:p w14:paraId="A3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проведение эффективной налоговой политики, направленной на дальнейшее расширение налоговой базы и достижение устойчивой положительной ди</w:t>
      </w:r>
      <w:r>
        <w:rPr>
          <w:rFonts w:ascii="Times New Roman" w:hAnsi="Times New Roman"/>
          <w:sz w:val="28"/>
        </w:rPr>
        <w:t>намики поступлений налогов.</w:t>
      </w:r>
    </w:p>
    <w:p w14:paraId="A4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2.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Эффективное управление расходами</w:t>
      </w:r>
      <w:r>
        <w:rPr>
          <w:rFonts w:ascii="Times New Roman" w:hAnsi="Times New Roman"/>
          <w:sz w:val="28"/>
        </w:rPr>
        <w:t>:</w:t>
      </w:r>
    </w:p>
    <w:p w14:paraId="A506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расходных обязательств с учетом их оптимизации и повышения эффективности использования финансовых ресурсов</w:t>
      </w:r>
      <w:r>
        <w:rPr>
          <w:rFonts w:ascii="Times New Roman" w:hAnsi="Times New Roman"/>
          <w:sz w:val="28"/>
        </w:rPr>
        <w:t>;</w:t>
      </w:r>
    </w:p>
    <w:p w14:paraId="A606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качественное и своевременное исполнение бюджета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.</w:t>
      </w:r>
    </w:p>
    <w:p w14:paraId="A7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3.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</w:t>
      </w:r>
      <w:r>
        <w:rPr>
          <w:rFonts w:ascii="Times New Roman" w:hAnsi="Times New Roman"/>
          <w:sz w:val="28"/>
        </w:rPr>
        <w:t>беспечение экономически безопасного уровня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муниципального долга</w:t>
      </w:r>
      <w:r>
        <w:rPr>
          <w:rFonts w:ascii="Times New Roman" w:hAnsi="Times New Roman"/>
          <w:sz w:val="28"/>
        </w:rPr>
        <w:t xml:space="preserve"> при соблюдении ограничений, установленных бюджетным законодательством Российской Федерации</w:t>
      </w:r>
      <w:r>
        <w:rPr>
          <w:rFonts w:ascii="Times New Roman" w:hAnsi="Times New Roman"/>
          <w:sz w:val="28"/>
        </w:rPr>
        <w:t>:</w:t>
      </w:r>
    </w:p>
    <w:p w14:paraId="A806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своевременное исполнение долговых обязательств в полном объеме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минимизация расходов на обслуживание муниципального долга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>.</w:t>
      </w:r>
    </w:p>
    <w:p w14:paraId="A9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4.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</w:t>
      </w:r>
      <w:r>
        <w:rPr>
          <w:rFonts w:ascii="Times New Roman" w:hAnsi="Times New Roman"/>
          <w:sz w:val="28"/>
        </w:rPr>
        <w:t>ормативно-правовое регулирование бюджетного процесса</w:t>
      </w:r>
      <w:r>
        <w:rPr>
          <w:rFonts w:ascii="Times New Roman" w:hAnsi="Times New Roman"/>
          <w:sz w:val="28"/>
        </w:rPr>
        <w:t>:</w:t>
      </w:r>
    </w:p>
    <w:p w14:paraId="AA06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 и адаптацию успешных практик других районов, приведением его в соответствие с изменениями бюджетного законодательства на федеральном и областном уровне, а также необходимостью разработки новых нормативных правовых актов для реализации районных инициатив</w:t>
      </w:r>
      <w:r>
        <w:rPr>
          <w:rFonts w:ascii="Times New Roman" w:hAnsi="Times New Roman"/>
          <w:sz w:val="28"/>
        </w:rPr>
        <w:t>.</w:t>
      </w:r>
    </w:p>
    <w:p w14:paraId="AB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Задача 5. </w:t>
      </w:r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овершенствование межбюджетных отношений на уровне района</w:t>
      </w:r>
      <w:r>
        <w:rPr>
          <w:rFonts w:ascii="Times New Roman" w:hAnsi="Times New Roman"/>
          <w:sz w:val="28"/>
        </w:rPr>
        <w:t>:</w:t>
      </w:r>
    </w:p>
    <w:p w14:paraId="AC06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создание условий для устойчивого исполнения </w:t>
      </w:r>
      <w:r>
        <w:rPr>
          <w:rFonts w:ascii="Times New Roman" w:hAnsi="Times New Roman"/>
          <w:sz w:val="28"/>
        </w:rPr>
        <w:t>местных бюджетов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результате обеспечения среднего уровня бюджетной обеспеченности муниципальных образований.</w:t>
      </w:r>
    </w:p>
    <w:p w14:paraId="AD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Задача 6</w:t>
      </w:r>
      <w:r>
        <w:rPr>
          <w:rFonts w:ascii="Times New Roman" w:hAnsi="Times New Roman"/>
          <w:sz w:val="28"/>
        </w:rPr>
        <w:t xml:space="preserve">. Осуществление внутреннего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финансового контроля в соответствии с требованиями действующего законодательства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 федеральных стандартов внутреннего государственного (муниципального) финансового контроля:</w:t>
      </w:r>
    </w:p>
    <w:p w14:paraId="AE060000">
      <w:pPr>
        <w:widowControl w:val="0"/>
        <w:tabs>
          <w:tab w:leader="none" w:pos="993" w:val="left"/>
          <w:tab w:leader="none" w:pos="1134" w:val="left"/>
        </w:tabs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пресечение нарушений в финансово-бюджетной сфере,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и принятие мер</w:t>
      </w:r>
      <w:r>
        <w:rPr>
          <w:rFonts w:ascii="Times New Roman" w:hAnsi="Times New Roman"/>
          <w:sz w:val="28"/>
        </w:rPr>
        <w:t xml:space="preserve"> по недопущению их в дальнейшем.</w:t>
      </w:r>
    </w:p>
    <w:p w14:paraId="AF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достижение целей бюджетной политики могут оказать существенное влияние изменения в бюджетном и налоговом законодательстве Российской Федерации, перераспределение доходных источников между уровнями бюджетной системы Российской Федерации, уточнение расходных полномочий, применение новых механизмов в межбюдже</w:t>
      </w:r>
      <w:r>
        <w:rPr>
          <w:rFonts w:ascii="Times New Roman" w:hAnsi="Times New Roman"/>
          <w:sz w:val="28"/>
        </w:rPr>
        <w:t>тных отношениях между областью</w:t>
      </w:r>
      <w:r>
        <w:rPr>
          <w:rFonts w:ascii="Times New Roman" w:hAnsi="Times New Roman"/>
          <w:sz w:val="28"/>
        </w:rPr>
        <w:t xml:space="preserve"> и</w:t>
      </w:r>
      <w:r>
        <w:rPr>
          <w:rFonts w:ascii="Times New Roman" w:hAnsi="Times New Roman"/>
          <w:sz w:val="28"/>
        </w:rPr>
        <w:t xml:space="preserve"> местными бюджетами</w:t>
      </w:r>
      <w:r>
        <w:rPr>
          <w:rFonts w:ascii="Times New Roman" w:hAnsi="Times New Roman"/>
          <w:sz w:val="28"/>
        </w:rPr>
        <w:t>.</w:t>
      </w:r>
    </w:p>
    <w:p w14:paraId="B0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связи с этим реализация поставленных задач, возможно, будет осуществляться с учетом внешних факторов, устанавливаемых на федеральном </w:t>
      </w:r>
      <w:r>
        <w:rPr>
          <w:rFonts w:ascii="Times New Roman" w:hAnsi="Times New Roman"/>
          <w:sz w:val="28"/>
        </w:rPr>
        <w:t>и региональном уровнях</w:t>
      </w:r>
      <w:r>
        <w:rPr>
          <w:rFonts w:ascii="Times New Roman" w:hAnsi="Times New Roman"/>
          <w:sz w:val="28"/>
        </w:rPr>
        <w:t xml:space="preserve"> в рамках проведения единой государственной финансовой политики.</w:t>
      </w:r>
    </w:p>
    <w:p w14:paraId="B1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Д. Стратегические проектные инициативы:</w:t>
      </w:r>
    </w:p>
    <w:p w14:paraId="B2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Отмена неэффективных налоговых льгот.</w:t>
      </w:r>
    </w:p>
    <w:p w14:paraId="B3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 Повышение эффективности использования </w:t>
      </w:r>
      <w:r>
        <w:rPr>
          <w:rFonts w:ascii="Times New Roman" w:hAnsi="Times New Roman"/>
          <w:sz w:val="28"/>
        </w:rPr>
        <w:t>муниципального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имущества.</w:t>
      </w:r>
    </w:p>
    <w:p w14:paraId="B4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</w:t>
      </w:r>
      <w:r>
        <w:rPr>
          <w:rFonts w:ascii="Times New Roman" w:hAnsi="Times New Roman"/>
          <w:sz w:val="28"/>
        </w:rPr>
        <w:t>Приоритизация</w:t>
      </w:r>
      <w:r>
        <w:rPr>
          <w:rFonts w:ascii="Times New Roman" w:hAnsi="Times New Roman"/>
          <w:sz w:val="28"/>
        </w:rPr>
        <w:t xml:space="preserve"> расходов как инструмент консолидации бюджета.</w:t>
      </w:r>
    </w:p>
    <w:p w14:paraId="B5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 Повышение эффективности межбюджетных отношений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с муниципальными образованиями.</w:t>
      </w:r>
    </w:p>
    <w:p w14:paraId="B6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B7060000">
      <w:bookmarkStart w:id="66" w:name="__RefHeading___66"/>
      <w:bookmarkEnd w:id="66"/>
      <w:pPr>
        <w:pStyle w:val="Style_6"/>
      </w:pPr>
      <w:r>
        <w:t>5.4. Ресурсы и инструменты</w:t>
      </w:r>
    </w:p>
    <w:p w14:paraId="B8060000">
      <w:pPr>
        <w:widowControl w:val="0"/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обеспечения реализации Стратегии будут задействованы бюджетные и </w:t>
      </w:r>
      <w:r>
        <w:rPr>
          <w:rFonts w:ascii="Times New Roman" w:hAnsi="Times New Roman"/>
          <w:sz w:val="28"/>
        </w:rPr>
        <w:t>внебюджетные</w:t>
      </w:r>
      <w:r>
        <w:rPr>
          <w:rFonts w:ascii="Times New Roman" w:hAnsi="Times New Roman"/>
          <w:sz w:val="28"/>
        </w:rPr>
        <w:t xml:space="preserve"> финансовые ресурсы.</w:t>
      </w:r>
    </w:p>
    <w:p w14:paraId="B9060000">
      <w:pPr>
        <w:widowControl w:val="0"/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Оценка располагаемого объема бюджетных ресурсов в 2025 –2030 годах произведена на основе бюджетного прогноза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на период 2023 – 2036 годов в редакции проекта изменений, в котором параметры </w:t>
      </w:r>
      <w:r>
        <w:rPr>
          <w:rFonts w:ascii="Times New Roman" w:hAnsi="Times New Roman"/>
          <w:sz w:val="28"/>
        </w:rPr>
        <w:t>районного бюджета</w:t>
      </w:r>
      <w:r>
        <w:rPr>
          <w:rFonts w:ascii="Times New Roman" w:hAnsi="Times New Roman"/>
          <w:sz w:val="28"/>
        </w:rPr>
        <w:t xml:space="preserve"> на период 2025 – 2027 годов приведены в соответствие с показателями </w:t>
      </w:r>
      <w:r>
        <w:rPr>
          <w:rFonts w:ascii="Times New Roman" w:hAnsi="Times New Roman"/>
          <w:sz w:val="28"/>
        </w:rPr>
        <w:t xml:space="preserve">Решения Собрания депутатов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от 26.12.2025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sz w:val="28"/>
        </w:rPr>
        <w:t>202</w:t>
      </w:r>
      <w:r>
        <w:rPr>
          <w:rFonts w:ascii="Times New Roman" w:hAnsi="Times New Roman"/>
          <w:sz w:val="28"/>
        </w:rPr>
        <w:t xml:space="preserve"> «О внесении изменений </w:t>
      </w:r>
      <w:r>
        <w:rPr>
          <w:rFonts w:ascii="Times New Roman" w:hAnsi="Times New Roman"/>
          <w:sz w:val="28"/>
        </w:rPr>
        <w:t>Решение Собрания депутатов</w:t>
      </w:r>
      <w:r>
        <w:rPr>
          <w:rFonts w:ascii="Times New Roman" w:hAnsi="Times New Roman"/>
          <w:sz w:val="28"/>
        </w:rPr>
        <w:t xml:space="preserve"> «О бюджете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на 2025</w:t>
      </w:r>
      <w:r>
        <w:rPr>
          <w:rFonts w:ascii="Times New Roman" w:hAnsi="Times New Roman"/>
          <w:sz w:val="28"/>
        </w:rPr>
        <w:t xml:space="preserve"> год и на плановый период 2026 и 2027 годов».</w:t>
      </w:r>
    </w:p>
    <w:p w14:paraId="BA06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основными направлениями бюджетной и налоговой политики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в целях расширения налоговой базы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и увеличения налогового потенциала области планируется проведение мероприятий по повышению инвестиционной активности, стимулированию развития малого и среднего предпринимательства чере</w:t>
      </w:r>
      <w:r>
        <w:rPr>
          <w:rFonts w:ascii="Times New Roman" w:hAnsi="Times New Roman"/>
          <w:sz w:val="28"/>
        </w:rPr>
        <w:t xml:space="preserve">з специальные налоговые режимы, </w:t>
      </w:r>
      <w:r>
        <w:rPr>
          <w:rFonts w:ascii="Times New Roman" w:hAnsi="Times New Roman"/>
          <w:sz w:val="28"/>
        </w:rPr>
        <w:t>совершенствованию и оптимизации системы администрирования, а также проведение оценки эффективности налоговых мер поддержки.</w:t>
      </w:r>
    </w:p>
    <w:p w14:paraId="BB060000">
      <w:pPr>
        <w:widowControl w:val="0"/>
        <w:spacing w:after="0" w:line="228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Оценка финансовых ресурсов районного и консолидированного бюджета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сформирована с учетом прогноза поступлений налоговых и неналоговых доходов по главным администраторам доходов бюджета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 и прогноза поступлений налоговых и неналоговых доходов в бюджеты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оселений, а также с учетом безвозмездных поступлений из областного бюджета.</w:t>
      </w:r>
    </w:p>
    <w:p w14:paraId="BC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 xml:space="preserve">Общий объем расходов консолидированного бюджета </w:t>
      </w:r>
      <w:r>
        <w:rPr>
          <w:rFonts w:ascii="Times New Roman" w:hAnsi="Times New Roman"/>
          <w:sz w:val="28"/>
        </w:rPr>
        <w:t>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в 2025 – 2030 годах планируется на уровне</w:t>
      </w:r>
      <w:r>
        <w:rPr>
          <w:rFonts w:ascii="Times New Roman" w:hAnsi="Times New Roman"/>
          <w:sz w:val="28"/>
        </w:rPr>
        <w:t xml:space="preserve"> 8 079 559,</w:t>
      </w: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тыс.</w:t>
      </w:r>
      <w:r>
        <w:rPr>
          <w:rFonts w:ascii="Times New Roman" w:hAnsi="Times New Roman"/>
          <w:sz w:val="28"/>
        </w:rPr>
        <w:t xml:space="preserve"> рублей. </w:t>
      </w:r>
    </w:p>
    <w:p w14:paraId="BD060000">
      <w:pPr>
        <w:widowControl w:val="0"/>
        <w:spacing w:after="0" w:before="0" w:line="228" w:lineRule="auto"/>
        <w:ind w:firstLine="709" w:left="0"/>
        <w:jc w:val="both"/>
        <w:rPr>
          <w:rFonts w:ascii="Times New Roman" w:hAnsi="Times New Roman"/>
          <w:sz w:val="28"/>
          <w:highlight w:val="yellow"/>
        </w:rPr>
      </w:pPr>
      <w:r>
        <w:rPr>
          <w:rFonts w:ascii="Times New Roman" w:hAnsi="Times New Roman"/>
          <w:sz w:val="28"/>
        </w:rPr>
        <w:t xml:space="preserve">Основные инструменты реализации Стратегии – документы стратегического планирования, разрабатываемые в рамках планирования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 xml:space="preserve">и программирования, определены Федеральным законом от 28.06.2014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172-ФЗ и Областным законом Ростовской области от 20.10.2015 № 416-ЗС:</w:t>
      </w:r>
    </w:p>
    <w:p w14:paraId="BE060000">
      <w:pPr>
        <w:widowControl w:val="0"/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План мероприятий по реализации Стратегии социально-экономического развития Обливского района до 2030 года (далее – План мероприятий).</w:t>
      </w:r>
    </w:p>
    <w:p w14:paraId="BF060000">
      <w:pPr>
        <w:widowControl w:val="0"/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Муниципальные программы Обливского района.</w:t>
      </w:r>
    </w:p>
    <w:p w14:paraId="C0060000">
      <w:pPr>
        <w:widowControl w:val="0"/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Схема территориального планирования Обливского района.</w:t>
      </w:r>
    </w:p>
    <w:p w14:paraId="C1060000">
      <w:pPr>
        <w:widowControl w:val="0"/>
        <w:spacing w:after="57"/>
        <w:ind w:firstLine="709" w:left="0"/>
        <w:jc w:val="right"/>
        <w:rPr>
          <w:rFonts w:ascii="Times New Roman" w:hAnsi="Times New Roman"/>
          <w:sz w:val="28"/>
        </w:rPr>
      </w:pPr>
    </w:p>
    <w:p w14:paraId="C2060000">
      <w:pPr>
        <w:widowControl w:val="0"/>
        <w:spacing w:after="57" w:line="264" w:lineRule="auto"/>
        <w:ind w:firstLine="709" w:left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Таблица № 6</w:t>
      </w:r>
    </w:p>
    <w:p w14:paraId="C3060000">
      <w:pPr>
        <w:widowControl w:val="0"/>
        <w:spacing w:after="57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Оценка финансовых ресурсов</w:t>
      </w:r>
    </w:p>
    <w:p w14:paraId="C4060000">
      <w:pPr>
        <w:widowControl w:val="0"/>
        <w:spacing w:after="57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для реализации Стратегии по этапам</w:t>
      </w:r>
    </w:p>
    <w:p w14:paraId="C5060000">
      <w:pPr>
        <w:widowControl w:val="0"/>
        <w:spacing w:after="57" w:line="240" w:lineRule="auto"/>
        <w:ind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</w:rPr>
        <w:t>тыс.</w:t>
      </w:r>
      <w:r>
        <w:rPr>
          <w:rFonts w:ascii="Times New Roman" w:hAnsi="Times New Roman"/>
          <w:sz w:val="28"/>
        </w:rPr>
        <w:t xml:space="preserve"> рублей)</w:t>
      </w: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4063"/>
        <w:gridCol w:w="1859"/>
        <w:gridCol w:w="1858"/>
        <w:gridCol w:w="1858"/>
      </w:tblGrid>
      <w:tr>
        <w:tc>
          <w:tcPr>
            <w:tcW w:type="dxa" w:w="4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6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параметра</w:t>
            </w:r>
          </w:p>
        </w:tc>
        <w:tc>
          <w:tcPr>
            <w:tcW w:type="dxa" w:w="1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7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2025 – 2027 годы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8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2028 – 2030 годы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9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Итого 2025 – 2030 годы</w:t>
            </w:r>
          </w:p>
        </w:tc>
      </w:tr>
    </w:tbl>
    <w:p w14:paraId="CA060000">
      <w:pPr>
        <w:spacing w:after="57" w:line="240" w:lineRule="auto"/>
        <w:ind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4063"/>
        <w:gridCol w:w="1859"/>
        <w:gridCol w:w="1858"/>
        <w:gridCol w:w="1858"/>
      </w:tblGrid>
      <w:tr>
        <w:tc>
          <w:tcPr>
            <w:tcW w:type="dxa" w:w="4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B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1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C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D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E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</w:tr>
      <w:tr>
        <w:tc>
          <w:tcPr>
            <w:tcW w:type="dxa" w:w="4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CF060000">
            <w:pPr>
              <w:widowControl w:val="0"/>
              <w:spacing w:after="57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Доходы консолидированного бюджета </w:t>
            </w:r>
            <w:r>
              <w:rPr>
                <w:rFonts w:ascii="Times New Roman" w:hAnsi="Times New Roman"/>
                <w:sz w:val="28"/>
              </w:rPr>
              <w:t>Обливского</w:t>
            </w:r>
            <w:r>
              <w:rPr>
                <w:rFonts w:ascii="Times New Roman" w:hAnsi="Times New Roman"/>
                <w:sz w:val="28"/>
              </w:rPr>
              <w:t xml:space="preserve"> района</w:t>
            </w:r>
          </w:p>
        </w:tc>
        <w:tc>
          <w:tcPr>
            <w:tcW w:type="dxa" w:w="1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0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4 683 548,3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1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3 362 237,9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2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8 045 786,2</w:t>
            </w:r>
          </w:p>
        </w:tc>
      </w:tr>
      <w:tr>
        <w:tc>
          <w:tcPr>
            <w:tcW w:type="dxa" w:w="4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3060000">
            <w:pPr>
              <w:widowControl w:val="0"/>
              <w:spacing w:after="57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налоговые и неналоговые доходы консолидированного бюджета </w:t>
            </w:r>
            <w:r>
              <w:rPr>
                <w:rFonts w:ascii="Times New Roman" w:hAnsi="Times New Roman"/>
                <w:sz w:val="28"/>
              </w:rPr>
              <w:t>Обливского</w:t>
            </w:r>
            <w:r>
              <w:rPr>
                <w:rFonts w:ascii="Times New Roman" w:hAnsi="Times New Roman"/>
                <w:sz w:val="28"/>
              </w:rPr>
              <w:t xml:space="preserve"> района</w:t>
            </w:r>
          </w:p>
        </w:tc>
        <w:tc>
          <w:tcPr>
            <w:tcW w:type="dxa" w:w="1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4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783 722,6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5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951 468,1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6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1 735 190,7</w:t>
            </w:r>
          </w:p>
        </w:tc>
      </w:tr>
      <w:tr>
        <w:tc>
          <w:tcPr>
            <w:tcW w:type="dxa" w:w="4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7060000">
            <w:pPr>
              <w:widowControl w:val="0"/>
              <w:spacing w:after="57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безвозмездные поступления консолидированного бюджета </w:t>
            </w:r>
            <w:r>
              <w:rPr>
                <w:rFonts w:ascii="Times New Roman" w:hAnsi="Times New Roman"/>
                <w:sz w:val="28"/>
              </w:rPr>
              <w:t>Обливского</w:t>
            </w:r>
            <w:r>
              <w:rPr>
                <w:rFonts w:ascii="Times New Roman" w:hAnsi="Times New Roman"/>
                <w:sz w:val="28"/>
              </w:rPr>
              <w:t xml:space="preserve"> района</w:t>
            </w:r>
          </w:p>
        </w:tc>
        <w:tc>
          <w:tcPr>
            <w:tcW w:type="dxa" w:w="1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8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3 899 825,7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9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2 410 769,8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A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6 310 595,5</w:t>
            </w:r>
          </w:p>
        </w:tc>
      </w:tr>
      <w:tr>
        <w:tc>
          <w:tcPr>
            <w:tcW w:type="dxa" w:w="406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B060000">
            <w:pPr>
              <w:widowControl w:val="0"/>
              <w:spacing w:after="57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Расходы консолидированного бюджета Ростовской области</w:t>
            </w:r>
          </w:p>
        </w:tc>
        <w:tc>
          <w:tcPr>
            <w:tcW w:type="dxa" w:w="185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C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4 717 321,2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D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3 362 237,9</w:t>
            </w:r>
          </w:p>
        </w:tc>
        <w:tc>
          <w:tcPr>
            <w:tcW w:type="dxa" w:w="18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DE060000">
            <w:pPr>
              <w:widowControl w:val="0"/>
              <w:spacing w:after="57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8 079 559,</w:t>
            </w: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14:paraId="DF060000">
      <w:pPr>
        <w:widowControl w:val="0"/>
        <w:spacing w:after="57" w:before="0" w:line="264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</w:p>
    <w:p w14:paraId="E0060000">
      <w:pPr>
        <w:widowControl w:val="0"/>
        <w:spacing w:after="57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sz w:val="28"/>
        </w:rPr>
        <w:t xml:space="preserve">Финансовые риски в оценке финансовых ресурсов для реализации Стратегии могут определяться с учетом существенных изменений социально-экономического развития Ростовской области в связи с влиянием геополитических факторов на развитие экономики Российской Федерации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в целом, а также с учетом изменений в законодательстве о налогах и сборах Российской Федерации и Ростовской области и бюджетном законодательстве Российской Федерации.</w:t>
      </w:r>
      <w:r>
        <w:rPr>
          <w:rFonts w:ascii="Times New Roman" w:hAnsi="Times New Roman"/>
          <w:sz w:val="28"/>
        </w:rPr>
        <w:t xml:space="preserve"> В целях нивелирования возможных рисков основными направлениями бюджетной и налоговой политики Ростовской области предусмотрены меры, направленные на </w:t>
      </w:r>
      <w:r>
        <w:rPr>
          <w:rFonts w:ascii="Times New Roman" w:hAnsi="Times New Roman"/>
          <w:sz w:val="28"/>
        </w:rPr>
        <w:t>приоритизацию</w:t>
      </w:r>
      <w:r>
        <w:rPr>
          <w:rFonts w:ascii="Times New Roman" w:hAnsi="Times New Roman"/>
          <w:sz w:val="28"/>
        </w:rPr>
        <w:t xml:space="preserve"> расходов и </w:t>
      </w:r>
      <w:r>
        <w:rPr>
          <w:rFonts w:ascii="Times New Roman" w:hAnsi="Times New Roman"/>
          <w:color w:val="000000"/>
          <w:sz w:val="28"/>
        </w:rPr>
        <w:t>бюджетную консолидацию.</w:t>
      </w:r>
    </w:p>
    <w:p w14:paraId="E1060000">
      <w:pPr>
        <w:widowControl w:val="0"/>
        <w:spacing w:after="57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План мероприятий служит основой организационного механизма реализации Стратегии и содержит этапы реализации Стратегии; цели и задачи социально-экономического развития, приоритетные для каждого этапа реализации Стратегии; показатели реализации Стратегии</w:t>
      </w:r>
      <w:r>
        <w:rPr>
          <w:rFonts w:ascii="Times New Roman" w:hAnsi="Times New Roman"/>
          <w:color w:val="000000"/>
          <w:sz w:val="28"/>
        </w:rPr>
        <w:t xml:space="preserve"> и их значения, установленные для каждого этапа реализации Стратегии; комплексы мероприятий и перечень муниципальных программ Обливского района.</w:t>
      </w:r>
    </w:p>
    <w:p w14:paraId="E2060000">
      <w:pPr>
        <w:widowControl w:val="0"/>
        <w:spacing w:after="57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План мероприятий включает стратегические программные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внепрограммные мероприятия, направленные на достижени</w:t>
      </w:r>
      <w:r>
        <w:rPr>
          <w:rFonts w:ascii="Times New Roman" w:hAnsi="Times New Roman"/>
          <w:color w:val="000000"/>
          <w:sz w:val="28"/>
        </w:rPr>
        <w:t>е целей социально-экономического развития Обливского района.</w:t>
      </w:r>
    </w:p>
    <w:p w14:paraId="E3060000">
      <w:pPr>
        <w:widowControl w:val="0"/>
        <w:spacing w:after="57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Муниципальные п</w:t>
      </w:r>
      <w:r>
        <w:rPr>
          <w:rFonts w:ascii="Times New Roman" w:hAnsi="Times New Roman"/>
          <w:color w:val="000000"/>
          <w:sz w:val="28"/>
        </w:rPr>
        <w:t xml:space="preserve">рограммы Обливского района формируются с учетом  документов стратегического планирования , содержат комплекс планируемых мероприятий (результатов), взаимоувязанных по задачам, срокам осуществления, исполнителям и ресурсам, и </w:t>
      </w:r>
      <w:r>
        <w:rPr>
          <w:rFonts w:ascii="Times New Roman" w:hAnsi="Times New Roman"/>
          <w:color w:val="000000"/>
          <w:sz w:val="28"/>
        </w:rPr>
        <w:t xml:space="preserve">обеспечивают наиболее эффективное достижение целей Стратегии. Перечень муниципальных программ Обливского района, отвечающий приоритетам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целям Стратегии, представлен</w:t>
      </w:r>
      <w:r>
        <w:rPr>
          <w:rFonts w:ascii="Times New Roman" w:hAnsi="Times New Roman"/>
          <w:color w:val="000000"/>
          <w:sz w:val="28"/>
        </w:rPr>
        <w:t xml:space="preserve"> в приложении № 1.</w:t>
      </w:r>
      <w:r>
        <w:rPr>
          <w:rFonts w:ascii="Times New Roman" w:hAnsi="Times New Roman"/>
          <w:color w:val="000000"/>
          <w:sz w:val="28"/>
        </w:rPr>
        <w:t xml:space="preserve"> Он включает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22 муниципальные программы Обливского района, которые</w:t>
      </w:r>
      <w:r>
        <w:rPr>
          <w:rFonts w:ascii="Times New Roman" w:hAnsi="Times New Roman"/>
          <w:color w:val="000000"/>
          <w:sz w:val="28"/>
        </w:rPr>
        <w:t xml:space="preserve"> раскрывают механизм реализации стратегических </w:t>
      </w:r>
      <w:r>
        <w:rPr>
          <w:rFonts w:ascii="Times New Roman" w:hAnsi="Times New Roman"/>
          <w:color w:val="000000"/>
          <w:sz w:val="28"/>
        </w:rPr>
        <w:t xml:space="preserve">целей развития всех выделенных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 xml:space="preserve">в Стратегии сфер в рамках экономической, социальной и пространственной </w:t>
      </w:r>
      <w:r>
        <w:rPr>
          <w:rFonts w:ascii="Times New Roman" w:hAnsi="Times New Roman"/>
          <w:color w:val="000000"/>
          <w:sz w:val="28"/>
        </w:rPr>
        <w:t>политики.</w:t>
      </w:r>
    </w:p>
    <w:p w14:paraId="E4060000">
      <w:bookmarkStart w:id="67" w:name="__RefHeading___67"/>
      <w:bookmarkEnd w:id="67"/>
      <w:pPr>
        <w:pStyle w:val="Style_6"/>
      </w:pPr>
      <w:r>
        <w:t>5.5. Мониторинг реализации Стратегии</w:t>
      </w:r>
    </w:p>
    <w:p w14:paraId="E5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Мониторинг реализации Стратегии предусматривает осуществление деятельности участниками стратегического планирования по комплексной оценке хода и итогов реализации Стратегии, а также по оценке взаимодействия </w:t>
      </w:r>
      <w:r>
        <w:rPr>
          <w:rFonts w:ascii="Times New Roman" w:hAnsi="Times New Roman"/>
          <w:color w:val="000000"/>
          <w:sz w:val="28"/>
        </w:rPr>
        <w:t>участников стратегического планирования в части соблюдения принципов стратегического планирования и реализации ими полномочий в сфере социально-экономического развития Обливского района.</w:t>
      </w:r>
    </w:p>
    <w:p w14:paraId="E6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CF543F"/>
          <w:sz w:val="28"/>
        </w:rPr>
      </w:pPr>
      <w:r>
        <w:rPr>
          <w:rFonts w:ascii="Times New Roman" w:hAnsi="Times New Roman"/>
          <w:color w:val="000000"/>
          <w:sz w:val="28"/>
        </w:rPr>
        <w:t>Осуществление мониторинга реализации Стратегии организует уполномоче</w:t>
      </w:r>
      <w:r>
        <w:rPr>
          <w:rFonts w:ascii="Times New Roman" w:hAnsi="Times New Roman"/>
          <w:color w:val="000000"/>
          <w:sz w:val="28"/>
        </w:rPr>
        <w:t>нный орган – отдел экономики Администрации Обливского района. Основные принципы и подходы осуществления мониторинга реализации Стратегии определены федеральными и региональными нормативными правовыми актами.</w:t>
      </w:r>
    </w:p>
    <w:p w14:paraId="E7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Целью мониторинга реализации Стратегии я</w:t>
      </w:r>
      <w:r>
        <w:rPr>
          <w:rFonts w:ascii="Times New Roman" w:hAnsi="Times New Roman"/>
          <w:color w:val="000000"/>
          <w:sz w:val="28"/>
        </w:rPr>
        <w:t>вляется повышение эффективности функционирования системы стратегического планирования, осуществляемого на основе комплексной оценки основных социально-экономических и финансовых показателей, содержащихся в Стратегии, а также повышение эффективности деятель</w:t>
      </w:r>
      <w:r>
        <w:rPr>
          <w:rFonts w:ascii="Times New Roman" w:hAnsi="Times New Roman"/>
          <w:color w:val="000000"/>
          <w:sz w:val="28"/>
        </w:rPr>
        <w:t>ности участников стратегического планирования по достижению в установленные сроки запланированных показателей социально-экономического развития Обливского района.</w:t>
      </w:r>
    </w:p>
    <w:p w14:paraId="E806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Основными задачами мониторинга реализации Стратегии являются:</w:t>
      </w:r>
    </w:p>
    <w:p w14:paraId="E906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сбор, систематизация и обобщен</w:t>
      </w:r>
      <w:r>
        <w:rPr>
          <w:rFonts w:ascii="Times New Roman" w:hAnsi="Times New Roman"/>
          <w:color w:val="000000"/>
          <w:sz w:val="28"/>
        </w:rPr>
        <w:t>ие информации о социально-экономическом развитии Обливского района;</w:t>
      </w:r>
    </w:p>
    <w:p w14:paraId="EA06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оценка степени достижения запланированных целей социально-экономического развития Обливского района;</w:t>
      </w:r>
    </w:p>
    <w:p w14:paraId="EB06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оценка влияния внутренних и внешних условий на плановый </w:t>
      </w:r>
      <w:r>
        <w:rPr>
          <w:color w:val="000000"/>
        </w:rPr>
        <w:br/>
      </w:r>
      <w:r>
        <w:rPr>
          <w:rFonts w:ascii="Times New Roman" w:hAnsi="Times New Roman"/>
          <w:color w:val="000000"/>
          <w:sz w:val="28"/>
        </w:rPr>
        <w:t>и фактический уровни достижен</w:t>
      </w:r>
      <w:r>
        <w:rPr>
          <w:rFonts w:ascii="Times New Roman" w:hAnsi="Times New Roman"/>
          <w:color w:val="000000"/>
          <w:sz w:val="28"/>
        </w:rPr>
        <w:t>ия целей социально-экономического развития Обливского района;</w:t>
      </w:r>
    </w:p>
    <w:p w14:paraId="EC06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оценка соответствия плановых и фактических сроков, результатов реализации Стратегии и ресурсов, необходимых для их достижения;</w:t>
      </w:r>
    </w:p>
    <w:p w14:paraId="ED060000">
      <w:pPr>
        <w:widowControl w:val="0"/>
        <w:tabs>
          <w:tab w:leader="none" w:pos="1134" w:val="left"/>
        </w:tabs>
        <w:spacing w:after="0" w:before="0" w:line="240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оценка уровня социально-экономического развитияОбливского района</w:t>
      </w:r>
      <w:r>
        <w:rPr>
          <w:rFonts w:ascii="Times New Roman" w:hAnsi="Times New Roman"/>
          <w:color w:val="000000"/>
          <w:sz w:val="28"/>
        </w:rPr>
        <w:t xml:space="preserve">, проведение анализа, выявление возможных рисков и угроз и своевременное </w:t>
      </w:r>
      <w:r>
        <w:rPr>
          <w:rFonts w:ascii="Times New Roman" w:hAnsi="Times New Roman"/>
          <w:color w:val="000000"/>
          <w:sz w:val="28"/>
        </w:rPr>
        <w:t>принятие мер по их предотвращению;</w:t>
      </w:r>
    </w:p>
    <w:p w14:paraId="EE060000">
      <w:pPr>
        <w:widowControl w:val="0"/>
        <w:spacing w:after="0" w:before="0" w:line="252" w:lineRule="auto"/>
        <w:ind w:firstLine="709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Мониторинг реализации Ст</w:t>
      </w:r>
      <w:r>
        <w:rPr>
          <w:rFonts w:ascii="Times New Roman" w:hAnsi="Times New Roman"/>
          <w:color w:val="000000"/>
          <w:sz w:val="28"/>
        </w:rPr>
        <w:t>ратегии осуществляется на основе информации об итогах выполнения плана мероприятий по реализации Стратегии и муниципальных программ Обливского района.</w:t>
      </w:r>
    </w:p>
    <w:p w14:paraId="EF060000">
      <w:p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целях обеспечения гибкости Стратегии предусмотрена возможность корректировки и актуализации Стратегии по мере необходимости с учетом изменения оказывающих существенное влияние внешних условий (динамика роста мировой и российской экономики, цена на энергоресурсы, курс национальной валюты, состояние банковской системы, государственная политика и другие) и внутренних процессов, участвующих в развитии района. Коррекция возможна в виде ежегодного уточнения краткосрочных и среднесрочных прогнозов социально-экономического развития района.</w:t>
      </w:r>
    </w:p>
    <w:p w14:paraId="F0060000">
      <w:pPr>
        <w:spacing w:after="0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Мониторинга отражаются в ежегодном отчете </w:t>
      </w:r>
      <w:r>
        <w:rPr>
          <w:rFonts w:ascii="Times New Roman" w:hAnsi="Times New Roman"/>
          <w:sz w:val="28"/>
        </w:rPr>
        <w:t>Главы Администрации Обливского района</w:t>
      </w:r>
      <w:r>
        <w:rPr>
          <w:rFonts w:ascii="Times New Roman" w:hAnsi="Times New Roman"/>
          <w:sz w:val="28"/>
        </w:rPr>
        <w:t xml:space="preserve"> о результатах деятельности </w:t>
      </w:r>
      <w:r>
        <w:rPr>
          <w:rFonts w:ascii="Times New Roman" w:hAnsi="Times New Roman"/>
          <w:sz w:val="28"/>
        </w:rPr>
        <w:t>Администрации Обливского района.</w:t>
      </w:r>
      <w:r>
        <w:rPr>
          <w:rFonts w:ascii="Times New Roman" w:hAnsi="Times New Roman"/>
          <w:color w:val="CF543F"/>
          <w:sz w:val="28"/>
        </w:rPr>
        <w:br w:type="page"/>
      </w:r>
    </w:p>
    <w:p w14:paraId="F1060000">
      <w:bookmarkStart w:id="68" w:name="__RefHeading___68"/>
      <w:bookmarkEnd w:id="68"/>
      <w:pPr>
        <w:widowControl w:val="0"/>
        <w:tabs>
          <w:tab w:leader="none" w:pos="1134" w:val="left"/>
        </w:tabs>
        <w:spacing w:after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1</w:t>
      </w:r>
    </w:p>
    <w:p w14:paraId="F2060000">
      <w:pPr>
        <w:widowControl w:val="0"/>
        <w:spacing w:after="0" w:line="240" w:lineRule="auto"/>
        <w:ind w:firstLine="0"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14:paraId="F3060000">
      <w:pPr>
        <w:widowControl w:val="0"/>
        <w:spacing w:after="0" w:line="240" w:lineRule="auto"/>
        <w:ind w:firstLine="0"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экономического развития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 </w:t>
      </w:r>
    </w:p>
    <w:p w14:paraId="F4060000">
      <w:pPr>
        <w:widowControl w:val="0"/>
        <w:spacing w:after="0" w:line="240" w:lineRule="auto"/>
        <w:ind w:firstLine="0" w:left="51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2030 года</w:t>
      </w:r>
    </w:p>
    <w:p w14:paraId="F506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606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706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</w:t>
      </w:r>
    </w:p>
    <w:p w14:paraId="F806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стратегического планирования</w:t>
      </w:r>
    </w:p>
    <w:p w14:paraId="F906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федеральном уровне (включая отраслевые и межотраслевые)</w:t>
      </w:r>
    </w:p>
    <w:p w14:paraId="FA06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FB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Федеральный закон от 23.06.2016 № 182-ФЗ «Об основах системы профилактики правонарушений в Российской Федерации»;</w:t>
      </w:r>
    </w:p>
    <w:p w14:paraId="FC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демографической политики Российской Федерации на период до 2025 года (утверждена Указом Президента Российской Федерации </w:t>
      </w:r>
      <w:r>
        <w:br/>
      </w:r>
      <w:r>
        <w:rPr>
          <w:rFonts w:ascii="Times New Roman" w:hAnsi="Times New Roman"/>
          <w:sz w:val="28"/>
        </w:rPr>
        <w:t>от 09.10.2007 № 1351);</w:t>
      </w:r>
    </w:p>
    <w:p w14:paraId="FD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государственной национальной политики Российской Федерации на период до 2025 года (утверждена Указом Президента Российской Федерации от 19.12.2012 № 1666);</w:t>
      </w:r>
    </w:p>
    <w:p w14:paraId="FE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Основы государственной политики регионального развития Российской Федерации на период до 2025 года (утверждены Указом Президента Российской Федерации от 16.01.2017 № 13);</w:t>
      </w:r>
    </w:p>
    <w:p w14:paraId="FF06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экономической безопасности Российской Федерации на период до 2030 года (утверждена Указом Президента Российской Федерации </w:t>
      </w:r>
      <w:r>
        <w:br/>
      </w:r>
      <w:r>
        <w:rPr>
          <w:rFonts w:ascii="Times New Roman" w:hAnsi="Times New Roman"/>
          <w:sz w:val="28"/>
        </w:rPr>
        <w:t>от 13.05.2017 № 208);</w:t>
      </w:r>
    </w:p>
    <w:p w14:paraId="00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здравоохранения в Российской Федерации на период до 2025 года (утверждена Указом Президента Российской Федерации </w:t>
      </w:r>
      <w:r>
        <w:br/>
      </w:r>
      <w:r>
        <w:rPr>
          <w:rFonts w:ascii="Times New Roman" w:hAnsi="Times New Roman"/>
          <w:sz w:val="28"/>
        </w:rPr>
        <w:t>от 06.06.2019 № 254);</w:t>
      </w:r>
    </w:p>
    <w:p w14:paraId="01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hd w:fill="FEFEFE" w:val="clear"/>
        </w:rPr>
        <w:t xml:space="preserve">Стратегия государственной политики Российской Федерации </w:t>
      </w:r>
      <w:r>
        <w:br/>
      </w:r>
      <w:r>
        <w:rPr>
          <w:rFonts w:ascii="Times New Roman" w:hAnsi="Times New Roman"/>
          <w:sz w:val="28"/>
          <w:shd w:fill="FEFEFE" w:val="clear"/>
        </w:rPr>
        <w:t xml:space="preserve">в отношении российского казачества на 2021 – 2030 годы </w:t>
      </w:r>
      <w:r>
        <w:rPr>
          <w:rFonts w:ascii="Times New Roman" w:hAnsi="Times New Roman"/>
          <w:sz w:val="28"/>
        </w:rPr>
        <w:t>(утверждена Указом Президента Российской Федерации от 09.08.2020 № 505);</w:t>
      </w:r>
    </w:p>
    <w:p w14:paraId="02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государственной антинаркотической политики Российской Федерации на период до 2030 года (утверждена Указом Президента Российской Федерации от 23.11.2020 № 733)</w:t>
      </w:r>
    </w:p>
    <w:p w14:paraId="03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национальной безопасности Российской Федерации (утверждена Указом Президента Российской Федерации от 02.07.2021 № 400);</w:t>
      </w:r>
    </w:p>
    <w:p w14:paraId="04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Основы государственной политики в сфере стратегического планирования в Российской Федерации (утверждены Указом Президента Российской Федерации от 08.11.2021 № 633);</w:t>
      </w:r>
    </w:p>
    <w:p w14:paraId="05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Климатическая доктрина Российской Федерации (утверждена Указом Президента Российской Федерации от 26.10.2023 № 812);</w:t>
      </w:r>
    </w:p>
    <w:p w14:paraId="06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научно-технологического развития Российской Федерации (утверждена Указом Президента Российской Федерации от 28.02.2024 № 145);</w:t>
      </w:r>
    </w:p>
    <w:p w14:paraId="07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Национальные цели развития Российской Федерации на период </w:t>
      </w:r>
      <w:r>
        <w:br/>
      </w:r>
      <w:r>
        <w:rPr>
          <w:rFonts w:ascii="Times New Roman" w:hAnsi="Times New Roman"/>
          <w:sz w:val="28"/>
        </w:rPr>
        <w:t xml:space="preserve">до 2030 года и на перспективу до 2036 года (утверждены Указом Президента </w:t>
      </w:r>
      <w:r>
        <w:rPr>
          <w:rFonts w:ascii="Times New Roman" w:hAnsi="Times New Roman"/>
          <w:sz w:val="28"/>
        </w:rPr>
        <w:t>Российской Федерации от 07.05.2024 № 309);</w:t>
      </w:r>
    </w:p>
    <w:p w14:paraId="08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противодействия экстремизму в Российской Федерации (утверждена Указом Президента Российской Федерации от 28.12.2024 № 1124);</w:t>
      </w:r>
    </w:p>
    <w:p w14:paraId="09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государственной миграционной политики Российской Федерации на 2026-2030 годы (утверждена Указом Президента Российской Федерации от 15.10.2025 № 738);</w:t>
      </w:r>
    </w:p>
    <w:p w14:paraId="0A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Послание Президента Российской Федерации Федеральному Собранию Российской Федерации (от 29.02.2024, б/н);</w:t>
      </w:r>
    </w:p>
    <w:p w14:paraId="0B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Основные направления государственной политики в сфере повышения энергетической эффективности электроэнергетики на основе использования возобновляемых источников энергии на период до 2035 года (утверждены распоряжением Правительства Российской Федерации от 08.01.2009 № 1-р); </w:t>
      </w:r>
    </w:p>
    <w:p w14:paraId="0C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деятельности в области гидрометеорологии и смежных с ней областях на период до 2030 года (с учетом аспектов изменения климата)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03.09.2010 № 1458-р);</w:t>
      </w:r>
    </w:p>
    <w:p w14:paraId="0D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долгосрочного развития пенсионной системы Российской Федерации (утверждена распоряжением Правительства Российской Федерации от 25.12.2012 № 2524-р); </w:t>
      </w:r>
    </w:p>
    <w:p w14:paraId="0E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Схема территориального планирования Российской Федерации в области федерального транспорта (железнодорожного, воздушного, морского, внутреннего водного транспорта) и автомобильных дорог федерального значения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19.03.2013 № 384-р);</w:t>
      </w:r>
    </w:p>
    <w:p w14:paraId="0F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электросетевого комплекса Российской Федерации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03.04.2013 № 511-р);</w:t>
      </w:r>
    </w:p>
    <w:p w14:paraId="10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Основы государственной политики в области использования, охраны, защиты и воспроизводства лесов в Российской Федерации на период </w:t>
      </w:r>
      <w:r>
        <w:br/>
      </w:r>
      <w:r>
        <w:rPr>
          <w:rFonts w:ascii="Times New Roman" w:hAnsi="Times New Roman"/>
          <w:sz w:val="28"/>
        </w:rPr>
        <w:t xml:space="preserve">до 2030 года (утверждены распоряжением Правительства Российской Федерации от 26.09.2013 №1724-р); </w:t>
      </w:r>
    </w:p>
    <w:p w14:paraId="11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развития отрасли информационных технологий в Российской Федерации на 2014 – 2020 годы и на перспективу до 2025 года (утверждена распоряжением Правительства Российской Федерации от 01.11.2013 № 2036-р);</w:t>
      </w:r>
    </w:p>
    <w:p w14:paraId="12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сохранения редких и находящихся под угрозой исчезновения видов животных, растений и грибов в Российской Федерации на период </w:t>
      </w:r>
      <w:r>
        <w:br/>
      </w:r>
      <w:r>
        <w:rPr>
          <w:rFonts w:ascii="Times New Roman" w:hAnsi="Times New Roman"/>
          <w:sz w:val="28"/>
        </w:rPr>
        <w:t>до 2030 года (утверждена распоряжением Правительства Российской Федерации от 17.02.2014 № 212-р);</w:t>
      </w:r>
    </w:p>
    <w:p w14:paraId="13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государственной семейной политики в Российской Федерации на период до 2025 года (утверждена распоряжением Правительства Российской Федерации от 25.08.2014 № 1618-р);</w:t>
      </w:r>
    </w:p>
    <w:p w14:paraId="14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устойчивого развития сельских территорий Российской Федерации на период до 2030 года (утверждена распоряжением Правительства </w:t>
      </w:r>
      <w:r>
        <w:rPr>
          <w:rFonts w:ascii="Times New Roman" w:hAnsi="Times New Roman"/>
          <w:sz w:val="28"/>
        </w:rPr>
        <w:t>Российской Федерации от 02.02.2015 № 151-р);</w:t>
      </w:r>
    </w:p>
    <w:p w14:paraId="15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малого и среднего предпринимательства </w:t>
      </w:r>
      <w:r>
        <w:br/>
      </w:r>
      <w:r>
        <w:rPr>
          <w:rFonts w:ascii="Times New Roman" w:hAnsi="Times New Roman"/>
          <w:sz w:val="28"/>
        </w:rPr>
        <w:t xml:space="preserve">в Российской Федерации на период до 2030 года (утверждена распоряжением Правительства Российской Федерации от 02.06.2016 № 1083-р); </w:t>
      </w:r>
    </w:p>
    <w:p w14:paraId="16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повышения качества пищевой продукции в Российской Федерации до 2030 года (утверждена распоряжением Правительства Российской Федерации от 29.06.2016 № 1364-р);</w:t>
      </w:r>
    </w:p>
    <w:p w14:paraId="17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обеспечения единства измерений в Российской Федерации </w:t>
      </w:r>
      <w:r>
        <w:br/>
      </w:r>
      <w:r>
        <w:rPr>
          <w:rFonts w:ascii="Times New Roman" w:hAnsi="Times New Roman"/>
          <w:sz w:val="28"/>
        </w:rPr>
        <w:t>до 2025 года (утверждена распоряжением Правительства Российской Федерации от 19.04.2017 № 737-р);</w:t>
      </w:r>
    </w:p>
    <w:p w14:paraId="18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сельскохозяйственного машиностроения России </w:t>
      </w:r>
      <w:r>
        <w:br/>
      </w:r>
      <w:r>
        <w:rPr>
          <w:rFonts w:ascii="Times New Roman" w:hAnsi="Times New Roman"/>
          <w:sz w:val="28"/>
        </w:rPr>
        <w:t>на период до 2030 года (утверждена распоряжением Правительства Российской Федерации от 07.07.2017 № 1455-р);</w:t>
      </w:r>
    </w:p>
    <w:p w14:paraId="19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транспортного машиностроения Российской Федерации на период до 2030 года (утверждена распоряжением Правительства Российской Федерации от 17.08.2017 № 1756-р); </w:t>
      </w:r>
    </w:p>
    <w:p w14:paraId="1A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государственной политики Российской Федерации в области защиты прав потребителей на период до 2030 года (утверждена распоряжением Правительства Российской Федерации от 28.08.2017 № 1837-р); </w:t>
      </w:r>
    </w:p>
    <w:p w14:paraId="1B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экспорта в отрасли сельскохозяйственного машиностроения на период до 2025 года (утверждена распоряжением Правительства Российской Федерации от 31.08.2017 № 1876-р); </w:t>
      </w:r>
    </w:p>
    <w:p w14:paraId="1C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развития экспорта продукции автомобильной промышленности в Российской Федерации на период до 2025 года (утверждена распоряжением Правительства Российской Федерации от 31.08.2017 № 1877-р);</w:t>
      </w:r>
    </w:p>
    <w:p w14:paraId="1D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экспорта продукции железнодорожного машиностроения (утверждена распоряжением Правительства Российской Федерации от 31.08.2017 № 1878-р); </w:t>
      </w:r>
    </w:p>
    <w:p w14:paraId="1E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предупреждения распространения антимикробной резистентности в Российской Федерации на период до 2030 года (утверждена распоряжением Правительства Российской Федерации от 25.09.2017 № 2045-р);</w:t>
      </w:r>
    </w:p>
    <w:p w14:paraId="1F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промышленности по обработке, утилизации </w:t>
      </w:r>
      <w:r>
        <w:br/>
      </w:r>
      <w:r>
        <w:rPr>
          <w:rFonts w:ascii="Times New Roman" w:hAnsi="Times New Roman"/>
          <w:sz w:val="28"/>
        </w:rPr>
        <w:t xml:space="preserve">и обезвреживанию отходов производства и потребления на период до 2030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25.01.2018 № 84-р);</w:t>
      </w:r>
    </w:p>
    <w:p w14:paraId="20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Комплексный план модернизации и расширения магистральной инфраструктуры (утвержден распоряжением Правительства Российской Федерации от 30.09.2018 № 2101-р); </w:t>
      </w:r>
    </w:p>
    <w:p w14:paraId="21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Долгосрочная программа развития ОАО «Российские железные дороги» до 2025 года (утверждена распоряжением Правительства Российской Федерации от 19.03.2019 № 466-р);</w:t>
      </w:r>
    </w:p>
    <w:p w14:paraId="22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морской деятельности Российской Федерации </w:t>
      </w:r>
      <w:r>
        <w:br/>
      </w:r>
      <w:r>
        <w:rPr>
          <w:rFonts w:ascii="Times New Roman" w:hAnsi="Times New Roman"/>
          <w:sz w:val="28"/>
        </w:rPr>
        <w:t xml:space="preserve">до 2030 года (утверждена распоряжением Правительства Российской Федерации </w:t>
      </w:r>
      <w:r>
        <w:rPr>
          <w:rFonts w:ascii="Times New Roman" w:hAnsi="Times New Roman"/>
          <w:sz w:val="28"/>
        </w:rPr>
        <w:t>от 30.08.2019 № 1930-р);</w:t>
      </w:r>
    </w:p>
    <w:p w14:paraId="23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туризма в Российской Федерации на период </w:t>
      </w:r>
      <w:r>
        <w:br/>
      </w:r>
      <w:r>
        <w:rPr>
          <w:rFonts w:ascii="Times New Roman" w:hAnsi="Times New Roman"/>
          <w:sz w:val="28"/>
        </w:rPr>
        <w:t xml:space="preserve">до 2035 года (утверждена распоряжением Правительства Российской Федерации от 20.09.2019 № 2129-р); </w:t>
      </w:r>
    </w:p>
    <w:p w14:paraId="24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Программа развития угольной промышленности России на период </w:t>
      </w:r>
      <w:r>
        <w:br/>
      </w:r>
      <w:r>
        <w:rPr>
          <w:rFonts w:ascii="Times New Roman" w:hAnsi="Times New Roman"/>
          <w:sz w:val="28"/>
        </w:rPr>
        <w:t>до 2035 года (утверждена распоряжением Правительства Российской Федерации от 13.06.2020 № 1582-р);</w:t>
      </w:r>
    </w:p>
    <w:p w14:paraId="25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лесного комплекса Российской Федерации </w:t>
      </w:r>
      <w:r>
        <w:br/>
      </w:r>
      <w:r>
        <w:rPr>
          <w:rFonts w:ascii="Times New Roman" w:hAnsi="Times New Roman"/>
          <w:sz w:val="28"/>
        </w:rPr>
        <w:t>до 2030 года (утверждена распоряжением Правительства Российской Федерации от 11.02.2021 № 312-р);</w:t>
      </w:r>
    </w:p>
    <w:p w14:paraId="26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библиотечного дела в Российской Федерации </w:t>
      </w:r>
      <w:r>
        <w:br/>
      </w:r>
      <w:r>
        <w:rPr>
          <w:rFonts w:ascii="Times New Roman" w:hAnsi="Times New Roman"/>
          <w:sz w:val="28"/>
        </w:rPr>
        <w:t>на период до 2030 года (утверждена распоряжением Правительства Российской Федерации от 13.03.2021 № 608-р);</w:t>
      </w:r>
    </w:p>
    <w:p w14:paraId="27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социально-экономического развития Российской Федерации </w:t>
      </w:r>
      <w:r>
        <w:br/>
      </w:r>
      <w:r>
        <w:rPr>
          <w:rFonts w:ascii="Times New Roman" w:hAnsi="Times New Roman"/>
          <w:sz w:val="28"/>
        </w:rPr>
        <w:t xml:space="preserve">с низким уровнем выбросов парниковых газов до 2050 года (утверждена распоряжением Правительства Российской Федерации от 29.10.2021 № 3052-р); </w:t>
      </w:r>
    </w:p>
    <w:p w14:paraId="28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Транспортная стратегия Российской Федерации до 2030 года с прогнозом на период до 2035 года (утверждена распоряжением Правительства Российской Федерации от 27.11.2021 № 3363-р);</w:t>
      </w:r>
    </w:p>
    <w:p w14:paraId="29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развития дополнительного образования детей до 2030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31.03.2022 № 678-р);</w:t>
      </w:r>
    </w:p>
    <w:p w14:paraId="2A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развития агропромышленного и рыбохозяйственного комплексов Российской Федерации на период до 2030 года (утверждена распоряжением Правительства Российской Федерации от 08.09.2022 № 2567-р);</w:t>
      </w:r>
    </w:p>
    <w:p w14:paraId="2B070000">
      <w:pPr>
        <w:widowControl w:val="0"/>
        <w:tabs>
          <w:tab w:leader="none" w:pos="9780" w:val="right"/>
        </w:tabs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строительной отрасли и жилищно-коммунального хозяйства Российской Федерации на период до 2030 года с прогнозом </w:t>
      </w:r>
      <w:r>
        <w:br/>
      </w:r>
      <w:r>
        <w:rPr>
          <w:rFonts w:ascii="Times New Roman" w:hAnsi="Times New Roman"/>
          <w:sz w:val="28"/>
        </w:rPr>
        <w:t>до 2035 года (утверждена распоряжением Правительства Российской Федерации от 31.10.2022 № 3268-р);</w:t>
      </w:r>
    </w:p>
    <w:p w14:paraId="2C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автомобильной промышленности Российской Федерации на период до 2035 года (утверждена распоряжением Правительства Российской Федерации от 28.12.2022 4261-р); </w:t>
      </w:r>
    </w:p>
    <w:p w14:paraId="2D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Национальная стратегия действий в интересах женщин на 2023 – </w:t>
      </w:r>
      <w:r>
        <w:br/>
      </w:r>
      <w:r>
        <w:rPr>
          <w:rFonts w:ascii="Times New Roman" w:hAnsi="Times New Roman"/>
          <w:sz w:val="28"/>
        </w:rPr>
        <w:t>2030 годы (утверждена распоряжением Правительства Российской Федерации от 29.12.2022 № 4356-р);</w:t>
      </w:r>
    </w:p>
    <w:p w14:paraId="2E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технологического развития на период до 2030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20.05.2023 № 1315-р);</w:t>
      </w:r>
    </w:p>
    <w:p w14:paraId="2F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повышения финансовой грамотности и формирования финансовой культуры до 2030 года (утверждена распоряжением Правительства Российской Федерации от 24.10.2023 № 2958-р);</w:t>
      </w:r>
    </w:p>
    <w:p w14:paraId="30070000">
      <w:pPr>
        <w:widowControl w:val="0"/>
        <w:spacing w:after="0" w:line="252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государственной культурной политики на период до 2030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 xml:space="preserve">от 11.09.2024 № 2501-р); </w:t>
      </w:r>
    </w:p>
    <w:p w14:paraId="31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пространственного развития Российской Федерации на период до 2030 года с прогнозом до 2036 года (утверждена распоряжением Правительства Российской Федерации от 28.12.2024 № 4146-р);</w:t>
      </w:r>
    </w:p>
    <w:p w14:paraId="32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государственной системы противодействия противоправным деяниям, совершаемым с использованием информационно-коммуникационных технологий (утверждена распоряжением Правительства Российской Федерации от 30.12.2024 № 4154-р);</w:t>
      </w:r>
    </w:p>
    <w:p w14:paraId="33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действий по реализации семейной и демографической политики, поддержке многодетности в Российской Федерации до 2036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15.03.2025 № 615-р);</w:t>
      </w:r>
    </w:p>
    <w:p w14:paraId="34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действий в интересах граждан старшего поколения </w:t>
      </w:r>
      <w:r>
        <w:br/>
      </w:r>
      <w:r>
        <w:rPr>
          <w:rFonts w:ascii="Times New Roman" w:hAnsi="Times New Roman"/>
          <w:sz w:val="28"/>
        </w:rPr>
        <w:t xml:space="preserve">в Российской Федерации до 2030 года (утверждена распоряжением Правительства Российской Федерации от 07.04.2025 № 830-р); </w:t>
      </w:r>
    </w:p>
    <w:p w14:paraId="35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Энергетическая стратегия Российской Федерации на период до 2050 года (утверждена распоряжением Правительства Российской Федерации </w:t>
      </w:r>
      <w:r>
        <w:br/>
      </w:r>
      <w:r>
        <w:rPr>
          <w:rFonts w:ascii="Times New Roman" w:hAnsi="Times New Roman"/>
          <w:sz w:val="28"/>
        </w:rPr>
        <w:t>от 12.04.2025 № 908-р);</w:t>
      </w:r>
    </w:p>
    <w:p w14:paraId="36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развития производства промышленной продукции реабилитационной направленности до 2030 года (утверждена распоряжением Правительства Российской Федерации от 06.11.2025 № 3143-р).</w:t>
      </w:r>
    </w:p>
    <w:p w14:paraId="37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38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ДОКУМЕНТЫ</w:t>
      </w:r>
    </w:p>
    <w:p w14:paraId="39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стратегического развития Ростовской области</w:t>
      </w:r>
    </w:p>
    <w:p w14:paraId="3A070000">
      <w:pPr>
        <w:widowControl w:val="0"/>
        <w:spacing w:after="0" w:line="240" w:lineRule="auto"/>
        <w:ind/>
        <w:rPr>
          <w:rFonts w:ascii="Times New Roman" w:hAnsi="Times New Roman"/>
          <w:sz w:val="28"/>
        </w:rPr>
      </w:pPr>
    </w:p>
    <w:p w14:paraId="3B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управления государственным имуществом и приватизации </w:t>
      </w:r>
      <w:r>
        <w:br/>
      </w:r>
      <w:r>
        <w:rPr>
          <w:rFonts w:ascii="Times New Roman" w:hAnsi="Times New Roman"/>
          <w:sz w:val="28"/>
        </w:rPr>
        <w:t>в Ростовской области (утверждена постановлением Главы Администрации Ростовской области от 11.10.2000 № 388);</w:t>
      </w:r>
    </w:p>
    <w:p w14:paraId="3C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демографической политики Ростовской области на период </w:t>
      </w:r>
      <w:r>
        <w:br/>
      </w:r>
      <w:r>
        <w:rPr>
          <w:rFonts w:ascii="Times New Roman" w:hAnsi="Times New Roman"/>
          <w:sz w:val="28"/>
        </w:rPr>
        <w:t>до 2025 года (утверждена постановлением Администрации Ростовской области от 16.12.2009 № 672);</w:t>
      </w:r>
    </w:p>
    <w:p w14:paraId="3D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в области цифровой трансформации отраслей экономики, социальной сферы и государственного управления Ростовской области (</w:t>
      </w:r>
      <w:r>
        <w:rPr>
          <w:rFonts w:ascii="Times New Roman" w:hAnsi="Times New Roman"/>
          <w:sz w:val="28"/>
          <w:highlight w:val="white"/>
        </w:rPr>
        <w:t>утверждена Губернатором Ростовской области 31.08.2022);</w:t>
      </w:r>
    </w:p>
    <w:p w14:paraId="3E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транспортного комплекса Ростовской области </w:t>
      </w:r>
      <w:r>
        <w:br/>
      </w:r>
      <w:r>
        <w:rPr>
          <w:rFonts w:ascii="Times New Roman" w:hAnsi="Times New Roman"/>
          <w:sz w:val="28"/>
        </w:rPr>
        <w:t>до 2030 года (утверждена постановлением Правительства Ростовской области от 13.10.2011 № 52);</w:t>
      </w:r>
    </w:p>
    <w:p w14:paraId="3F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развития угольной промышленности Ростовской области </w:t>
      </w:r>
      <w:r>
        <w:br/>
      </w:r>
      <w:r>
        <w:rPr>
          <w:rFonts w:ascii="Times New Roman" w:hAnsi="Times New Roman"/>
          <w:sz w:val="28"/>
        </w:rPr>
        <w:t xml:space="preserve">на период до 2035 года (утверждена постановлением Правительства Ростовской области от 05.07.2012 № 599); </w:t>
      </w:r>
    </w:p>
    <w:p w14:paraId="40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реализации государственной политики в отношении казачества на территории Ростовской области (утверждена постановлением Правительства Ростовской области от 06.12.2012 № 1060);</w:t>
      </w:r>
    </w:p>
    <w:p w14:paraId="41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формирования у детей и молодежи Ростовской области общероссийской гражданской идентичности (утверждена постановлением </w:t>
      </w:r>
      <w:r>
        <w:rPr>
          <w:rFonts w:ascii="Times New Roman" w:hAnsi="Times New Roman"/>
          <w:sz w:val="28"/>
        </w:rPr>
        <w:t>Правительства Ростовской области от 19.02.2015 № 123);</w:t>
      </w:r>
    </w:p>
    <w:p w14:paraId="42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развития системы профессиональной ориентации населения </w:t>
      </w:r>
      <w:r>
        <w:br/>
      </w:r>
      <w:r>
        <w:rPr>
          <w:rFonts w:ascii="Times New Roman" w:hAnsi="Times New Roman"/>
          <w:sz w:val="28"/>
        </w:rPr>
        <w:t>в Ростовской области на период до 2030 года (утверждена постановлением Правительства Ростовской области от 26.07.2017 № 516);</w:t>
      </w:r>
    </w:p>
    <w:p w14:paraId="43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развития добровольчества (волонтерства) в Ростовской области до 2025 года (утверждена постановлением Правительства Ростовской области от 25.04.2019 № 288);</w:t>
      </w:r>
    </w:p>
    <w:p w14:paraId="44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долгосрочного развития театрального дела в Ростовской области на период до 2030 года (утверждена постановлением Правительства Ростовской области от 03.10.2022 № 819);</w:t>
      </w:r>
    </w:p>
    <w:p w14:paraId="4507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развития связи в Ростовской области на период до 2030 года (утверждена постановлением Правительства Ростовской области от 14.12.2020 № 344);</w:t>
      </w:r>
    </w:p>
    <w:p w14:paraId="4607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Стратегия развития строительной отрасли и жилищно-коммунального хозяйства Ростовской области на период до 2030 года с прогнозом до 2035 года (утверждена постановлением Правительства Ростовской области от 02.03.2023 № 119);</w:t>
      </w:r>
    </w:p>
    <w:p w14:paraId="47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Концепция развития системы образования в сфере культуры Ростовской области на период до 2030 года (утверждена постановлением Правительства Ростовской области от 24.07.2023 № 532);</w:t>
      </w:r>
    </w:p>
    <w:p w14:paraId="48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патриотического воспитания молодежи в Ростовской области на период до 2030 года (утверждена постановлением Правительства Ростовской области от 13.11.2023 № 806); </w:t>
      </w:r>
    </w:p>
    <w:p w14:paraId="49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антикоррупционного просвещения и воспитания молодежи </w:t>
      </w:r>
      <w:r>
        <w:br/>
      </w:r>
      <w:r>
        <w:rPr>
          <w:rFonts w:ascii="Times New Roman" w:hAnsi="Times New Roman"/>
          <w:sz w:val="28"/>
        </w:rPr>
        <w:t>в Ростовской области до 2030 года (утверждена постановлением Правительства Ростовской области от 20.11.2023 № 830);</w:t>
      </w:r>
    </w:p>
    <w:p w14:paraId="4A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развития спортивной медицины в Ростовской области </w:t>
      </w:r>
      <w:r>
        <w:br/>
      </w:r>
      <w:r>
        <w:rPr>
          <w:rFonts w:ascii="Times New Roman" w:hAnsi="Times New Roman"/>
          <w:sz w:val="28"/>
        </w:rPr>
        <w:t>до 2030 года (утверждена постановлением Правительства Ростовской области от 12.02.2024 № 61);</w:t>
      </w:r>
    </w:p>
    <w:p w14:paraId="4B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Стратегия реализации молодежной политики в Ростовской области </w:t>
      </w:r>
      <w:r>
        <w:br/>
      </w:r>
      <w:r>
        <w:rPr>
          <w:rFonts w:ascii="Times New Roman" w:hAnsi="Times New Roman"/>
          <w:sz w:val="28"/>
        </w:rPr>
        <w:t>на период до 2030 года (утверждена постановлением Правительства Ростовской области от 02.06.2025 № 409);</w:t>
      </w:r>
    </w:p>
    <w:p w14:paraId="4C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Концепция формирования антинаркотической культуры личности </w:t>
      </w:r>
      <w:r>
        <w:br/>
      </w:r>
      <w:r>
        <w:rPr>
          <w:rFonts w:ascii="Times New Roman" w:hAnsi="Times New Roman"/>
          <w:sz w:val="28"/>
        </w:rPr>
        <w:t>в Ростовской области (решение антинаркотической комиссии Ростовской области от 18.12.2008, протокол № 4).</w:t>
      </w:r>
    </w:p>
    <w:p w14:paraId="4D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4E07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4F07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5007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5107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Документы стратегического планирования </w:t>
      </w:r>
    </w:p>
    <w:p w14:paraId="5207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Обливского района</w:t>
      </w:r>
    </w:p>
    <w:p w14:paraId="53070000">
      <w:pPr>
        <w:widowControl w:val="0"/>
        <w:spacing w:after="0" w:line="240" w:lineRule="auto"/>
        <w:ind w:firstLine="709" w:left="0"/>
        <w:jc w:val="center"/>
        <w:rPr>
          <w:rFonts w:ascii="Times New Roman" w:hAnsi="Times New Roman"/>
          <w:sz w:val="28"/>
        </w:rPr>
      </w:pPr>
    </w:p>
    <w:p w14:paraId="54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Документы стратегического планирования разрабатываются в рамках целеполагания, прогнозирования, планирования и программирования.</w:t>
      </w:r>
    </w:p>
    <w:p w14:paraId="55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Документом стратегического планирования, разрабатываемым в рамках целеполагания, является стратегия социально-экономического развития Обливского района.</w:t>
      </w:r>
    </w:p>
    <w:p w14:paraId="56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К документам стратегического планирования, разрабатываемым в рамках прогнозирования, относятся:</w:t>
      </w:r>
    </w:p>
    <w:p w14:paraId="57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прогноз социально-экономического развития Обливского района на долгосрочный период;</w:t>
      </w:r>
    </w:p>
    <w:p w14:paraId="58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бюджетный прогноз Обливского района на долгосрочный период;</w:t>
      </w:r>
    </w:p>
    <w:p w14:paraId="59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прогноз социально-экономического развития Обливского района на среднесрочный период.</w:t>
      </w:r>
    </w:p>
    <w:p w14:paraId="5A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К документам стратегического планирования, разрабатываемым в рамках планирования и программирования, относятся:</w:t>
      </w:r>
    </w:p>
    <w:p w14:paraId="5B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 план мероприятий по реализации стратегии социально-экономи</w:t>
      </w:r>
      <w:r>
        <w:rPr>
          <w:rFonts w:ascii="Times New Roman" w:hAnsi="Times New Roman"/>
          <w:sz w:val="28"/>
        </w:rPr>
        <w:t>ческого развития Обливского района;</w:t>
      </w:r>
    </w:p>
    <w:p w14:paraId="5C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 муниципальные программы Обливского района;</w:t>
      </w:r>
    </w:p>
    <w:p w14:paraId="5D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 схема территориального планирования Обливского района.</w:t>
      </w:r>
    </w:p>
    <w:p w14:paraId="5E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5F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НАЦИОНАЛЬНЫЕ ПРОЕКТЫ</w:t>
      </w:r>
      <w:r>
        <w:rPr>
          <w:rFonts w:ascii="Times New Roman" w:hAnsi="Times New Roman"/>
          <w:sz w:val="28"/>
        </w:rPr>
        <w:t>,</w:t>
      </w:r>
    </w:p>
    <w:p w14:paraId="60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реализуемые </w:t>
      </w:r>
      <w:r>
        <w:rPr>
          <w:rFonts w:ascii="Times New Roman" w:hAnsi="Times New Roman"/>
          <w:sz w:val="28"/>
        </w:rPr>
        <w:t>на территории Обливского</w:t>
      </w:r>
      <w:r>
        <w:rPr>
          <w:rFonts w:ascii="Times New Roman" w:hAnsi="Times New Roman"/>
          <w:sz w:val="28"/>
        </w:rPr>
        <w:t xml:space="preserve"> района</w:t>
      </w:r>
    </w:p>
    <w:p w14:paraId="61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2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Национальный проект «Продолжительная и активная жизнь»</w:t>
      </w:r>
    </w:p>
    <w:p w14:paraId="63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4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Региональный проект «Федеральный проект «Модернизация первичного звена здравоохранения Российской Федерации» (Ростовская область)».</w:t>
      </w:r>
    </w:p>
    <w:p w14:paraId="65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6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Национальный проект «Семья»</w:t>
      </w:r>
    </w:p>
    <w:p w14:paraId="67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8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Региональный проект «Многодетная семья (Ростовская область)».</w:t>
      </w:r>
    </w:p>
    <w:p w14:paraId="69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A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Национальный проект «Молодежь и дети»</w:t>
      </w:r>
    </w:p>
    <w:p w14:paraId="6B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C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 Региональный проект «Педагоги и наставники (Ростовская область)».</w:t>
      </w:r>
    </w:p>
    <w:p w14:paraId="6D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6E070000">
      <w:pPr>
        <w:widowControl w:val="0"/>
        <w:spacing w:after="0" w:line="264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Национальный проект «Инфраструктура для жизни»</w:t>
      </w:r>
    </w:p>
    <w:p w14:paraId="6F070000">
      <w:pPr>
        <w:widowControl w:val="0"/>
        <w:spacing w:after="0" w:line="264" w:lineRule="auto"/>
        <w:ind/>
        <w:jc w:val="center"/>
        <w:rPr>
          <w:rFonts w:ascii="Times New Roman" w:hAnsi="Times New Roman"/>
          <w:sz w:val="28"/>
        </w:rPr>
      </w:pPr>
    </w:p>
    <w:p w14:paraId="70070000">
      <w:pPr>
        <w:widowControl w:val="0"/>
        <w:spacing w:after="0" w:line="264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. Региональный проект «Формирование комфортной городской среды (Ростовская область)».</w:t>
      </w:r>
    </w:p>
    <w:p w14:paraId="71070000">
      <w:pPr>
        <w:widowControl w:val="0"/>
        <w:spacing w:after="0" w:line="264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72070000">
      <w:bookmarkStart w:id="69" w:name="__RefHeading___69"/>
      <w:bookmarkEnd w:id="69"/>
      <w:pPr>
        <w:widowControl w:val="0"/>
        <w:tabs>
          <w:tab w:leader="none" w:pos="1134" w:val="left"/>
        </w:tabs>
        <w:spacing w:after="0" w:line="240" w:lineRule="auto"/>
        <w:ind w:firstLine="0" w:left="5954"/>
        <w:contextualSpacing w:val="1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2</w:t>
      </w:r>
    </w:p>
    <w:p w14:paraId="7307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14:paraId="7407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экономического развития Обливского района </w:t>
      </w:r>
    </w:p>
    <w:p w14:paraId="7507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до 2030 года</w:t>
      </w:r>
    </w:p>
    <w:p w14:paraId="76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7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</w:p>
    <w:p w14:paraId="78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перспективных экономических специализаций Обливского района</w:t>
      </w:r>
    </w:p>
    <w:p w14:paraId="79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7A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«Производство мебели»;</w:t>
      </w:r>
    </w:p>
    <w:p w14:paraId="7B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«Производство одежды»;</w:t>
      </w:r>
    </w:p>
    <w:p w14:paraId="7C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«Производство пищевых продуктов»;</w:t>
      </w:r>
    </w:p>
    <w:p w14:paraId="7D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«Растениеводство и животноводство, предоставление соответствующих услуг в этих областях»;</w:t>
      </w:r>
    </w:p>
    <w:p w14:paraId="7E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«Рыболовство и рыбоводство»;</w:t>
      </w:r>
    </w:p>
    <w:p w14:paraId="7F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«Деятельность в области информации и связи»;</w:t>
      </w:r>
    </w:p>
    <w:p w14:paraId="80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«Деятельность профессиональная, научная и техническая»;</w:t>
      </w:r>
    </w:p>
    <w:p w14:paraId="81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«Транспортировка и хранение»;</w:t>
      </w:r>
    </w:p>
    <w:p w14:paraId="82070000">
      <w:pPr>
        <w:widowControl w:val="0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«Туризм – деятельность гостиниц и предприятий общественного питания, деятельность административная и сопутствующие дополнительные услуги (деятельность туристических агентств и прочих организаций, предоставляющих услуги в сфере туризма)».</w:t>
      </w:r>
    </w:p>
    <w:p w14:paraId="83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4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5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6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7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8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9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A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B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C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D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E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F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90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9107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92070000">
      <w:pPr>
        <w:sectPr>
          <w:headerReference r:id="rId3" w:type="default"/>
          <w:footerReference r:id="rId6" w:type="first"/>
          <w:pgSz w:h="16838" w:orient="portrait" w:w="11906"/>
          <w:pgMar w:bottom="1134" w:footer="624" w:gutter="0" w:header="680" w:left="1701" w:right="567" w:top="851"/>
          <w:pgNumType w:start="1"/>
          <w:titlePg/>
        </w:sectPr>
      </w:pPr>
    </w:p>
    <w:p w14:paraId="93070000">
      <w:bookmarkStart w:id="70" w:name="__RefHeading___70"/>
      <w:bookmarkEnd w:id="70"/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3</w:t>
      </w:r>
    </w:p>
    <w:p w14:paraId="94070000">
      <w:pPr>
        <w:widowControl w:val="0"/>
        <w:spacing w:after="0" w:line="240" w:lineRule="auto"/>
        <w:ind w:firstLine="0" w:left="1077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14:paraId="95070000">
      <w:pPr>
        <w:widowControl w:val="0"/>
        <w:tabs>
          <w:tab w:leader="none" w:pos="8789" w:val="left"/>
        </w:tabs>
        <w:spacing w:after="0" w:line="240" w:lineRule="auto"/>
        <w:ind w:firstLine="0" w:left="1077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экономического развития Обливского района </w:t>
      </w:r>
    </w:p>
    <w:p w14:paraId="96070000">
      <w:pPr>
        <w:widowControl w:val="0"/>
        <w:tabs>
          <w:tab w:leader="none" w:pos="8789" w:val="left"/>
        </w:tabs>
        <w:spacing w:after="0" w:line="240" w:lineRule="auto"/>
        <w:ind w:firstLine="0" w:left="1077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до 2030 года</w:t>
      </w:r>
    </w:p>
    <w:p w14:paraId="9707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98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СВЕДЕНИЯ О КАДРОВОЙ ПОТРЕБНОСТИ</w:t>
      </w:r>
    </w:p>
    <w:p w14:paraId="99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 видам экономической деятельности на 2025 – 2029 годы</w:t>
      </w:r>
    </w:p>
    <w:p w14:paraId="9A07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1150"/>
        <w:gridCol w:w="1134"/>
        <w:gridCol w:w="1134"/>
        <w:gridCol w:w="992"/>
        <w:gridCol w:w="992"/>
        <w:gridCol w:w="1134"/>
        <w:gridCol w:w="992"/>
        <w:gridCol w:w="993"/>
        <w:gridCol w:w="992"/>
        <w:gridCol w:w="992"/>
        <w:gridCol w:w="851"/>
      </w:tblGrid>
      <w:tr>
        <w:tc>
          <w:tcPr>
            <w:tcW w:type="dxa" w:w="311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Виды экономической деятельности</w:t>
            </w:r>
          </w:p>
        </w:tc>
        <w:tc>
          <w:tcPr>
            <w:tcW w:type="dxa" w:w="6536"/>
            <w:gridSpan w:val="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Общая потребность, человек</w:t>
            </w:r>
          </w:p>
        </w:tc>
        <w:tc>
          <w:tcPr>
            <w:tcW w:type="dxa" w:w="4820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Замещающая потребность, человек</w:t>
            </w:r>
          </w:p>
        </w:tc>
      </w:tr>
      <w:tr>
        <w:tc>
          <w:tcPr>
            <w:tcW w:type="dxa" w:w="311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/>
        </w:tc>
        <w:tc>
          <w:tcPr>
            <w:tcW w:type="dxa" w:w="1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2024 </w:t>
            </w:r>
          </w:p>
          <w:p w14:paraId="9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2025 </w:t>
            </w:r>
          </w:p>
          <w:p w14:paraId="A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2026 </w:t>
            </w:r>
          </w:p>
          <w:p w14:paraId="A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2027 </w:t>
            </w:r>
          </w:p>
          <w:p w14:paraId="A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2028 </w:t>
            </w:r>
          </w:p>
          <w:p w14:paraId="A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2029 </w:t>
            </w:r>
          </w:p>
          <w:p w14:paraId="A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год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2029 год</w:t>
            </w:r>
          </w:p>
        </w:tc>
      </w:tr>
    </w:tbl>
    <w:p w14:paraId="AF070000">
      <w:pPr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114"/>
        <w:gridCol w:w="1134"/>
        <w:gridCol w:w="1134"/>
        <w:gridCol w:w="1134"/>
        <w:gridCol w:w="992"/>
        <w:gridCol w:w="992"/>
        <w:gridCol w:w="1134"/>
        <w:gridCol w:w="992"/>
        <w:gridCol w:w="993"/>
        <w:gridCol w:w="992"/>
        <w:gridCol w:w="993"/>
        <w:gridCol w:w="851"/>
      </w:tblGrid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Сельское, лесное хозяйство, охота, рыболовство и рыбоводство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8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Обрабатывающие производства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4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Обеспечение электрической энергией, газом и паром; кондиционирование воздуха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C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Торговля оптовая и розничная; ремонт автотранспортных средств и мотоциклов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7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Транспортировка и хранение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7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Образование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области здравоохранения и социальных услуг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Деятельность в области культуры, спорта, организации досуга  и развлечений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311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Всего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41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63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84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89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102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type="dxa" w:w="9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43</w:t>
            </w:r>
          </w:p>
        </w:tc>
        <w:tc>
          <w:tcPr>
            <w:tcW w:type="dxa" w:w="8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45</w:t>
            </w:r>
          </w:p>
        </w:tc>
      </w:tr>
    </w:tbl>
    <w:p w14:paraId="40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41080000">
      <w:pPr>
        <w:sectPr>
          <w:headerReference r:id="rId7" w:type="default"/>
          <w:footerReference r:id="rId8" w:type="first"/>
          <w:type w:val="nextPage"/>
          <w:pgSz w:h="11908" w:orient="landscape" w:w="16848"/>
          <w:pgMar w:bottom="1134" w:footer="624" w:gutter="0" w:header="680" w:left="1701" w:right="567" w:top="1134"/>
          <w:titlePg/>
        </w:sectPr>
      </w:pPr>
    </w:p>
    <w:p w14:paraId="42080000">
      <w:bookmarkStart w:id="71" w:name="__RefHeading___71"/>
      <w:bookmarkEnd w:id="71"/>
      <w:pPr>
        <w:widowControl w:val="0"/>
        <w:tabs>
          <w:tab w:leader="none" w:pos="1134" w:val="left"/>
        </w:tabs>
        <w:spacing w:after="0" w:line="240" w:lineRule="auto"/>
        <w:ind w:firstLine="0" w:left="5954"/>
        <w:contextualSpacing w:val="1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4</w:t>
      </w:r>
    </w:p>
    <w:p w14:paraId="4308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14:paraId="44080000">
      <w:pPr>
        <w:widowControl w:val="0"/>
        <w:tabs>
          <w:tab w:leader="none" w:pos="8789" w:val="left"/>
        </w:tabs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экономического развития Обливского района </w:t>
      </w:r>
    </w:p>
    <w:p w14:paraId="45080000">
      <w:pPr>
        <w:widowControl w:val="0"/>
        <w:tabs>
          <w:tab w:leader="none" w:pos="8789" w:val="left"/>
        </w:tabs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2030 года</w:t>
      </w:r>
    </w:p>
    <w:p w14:paraId="460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70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Сведения </w:t>
      </w:r>
    </w:p>
    <w:p w14:paraId="480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 кадровой потребности </w:t>
      </w:r>
    </w:p>
    <w:p w14:paraId="490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профессионально-квалификационном разрезе </w:t>
      </w:r>
    </w:p>
    <w:p w14:paraId="4A0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2025 – 2029 годы, человек</w:t>
      </w:r>
    </w:p>
    <w:p w14:paraId="4B0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4C080000">
      <w:pPr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065"/>
        <w:gridCol w:w="889"/>
        <w:gridCol w:w="953"/>
        <w:gridCol w:w="906"/>
        <w:gridCol w:w="890"/>
        <w:gridCol w:w="935"/>
      </w:tblGrid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Наименование </w:t>
            </w:r>
          </w:p>
          <w:p w14:paraId="4E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начальной группы занятий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F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2025 год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2026 год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2027 год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2028 год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2029 год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908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A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Продавцы и помощники продавцов магазинов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0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Педагогические работники в средней школе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6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Педагогические работники в дошкольном образовании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C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Водители грузового транспорта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2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Механики и ремонтники автотранспортных средств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8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Бухгалтеры, экономисты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E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Инженеры-механики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211"/>
        </w:trP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4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Агрономы 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A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Закупщики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>
        <w:trPr>
          <w:trHeight w:hRule="atLeast" w:val="621"/>
        </w:trP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0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Руководители учреждений, организаций </w:t>
            </w:r>
          </w:p>
          <w:p w14:paraId="91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предприятий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3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5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6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7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Специалисты в области техники, не входящие в другие группы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8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9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A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B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C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>
        <w:tc>
          <w:tcPr>
            <w:tcW w:type="dxa" w:w="506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8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Механики и ремонтники сельскохозяйственного и производственного оборудования</w:t>
            </w:r>
          </w:p>
        </w:tc>
        <w:tc>
          <w:tcPr>
            <w:tcW w:type="dxa" w:w="8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E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9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F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90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0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89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1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9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208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</w:tr>
    </w:tbl>
    <w:p w14:paraId="A3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A4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A5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A6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A7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A8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A9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AA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AB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AC080000"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</w:p>
    <w:p w14:paraId="AD08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  <w:r>
        <w:br w:type="page"/>
      </w:r>
    </w:p>
    <w:p w14:paraId="AE080000">
      <w:bookmarkStart w:id="72" w:name="__RefHeading___72"/>
      <w:bookmarkEnd w:id="72"/>
      <w:pPr>
        <w:widowControl w:val="0"/>
        <w:tabs>
          <w:tab w:leader="none" w:pos="1134" w:val="left"/>
        </w:tabs>
        <w:spacing w:after="0" w:line="240" w:lineRule="auto"/>
        <w:ind w:firstLine="0" w:left="5954"/>
        <w:contextualSpacing w:val="1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5</w:t>
      </w:r>
    </w:p>
    <w:p w14:paraId="AF080000">
      <w:pPr>
        <w:widowControl w:val="0"/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14:paraId="B0080000">
      <w:pPr>
        <w:widowControl w:val="0"/>
        <w:tabs>
          <w:tab w:leader="none" w:pos="8789" w:val="left"/>
        </w:tabs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экономического развития Обливского района </w:t>
      </w:r>
    </w:p>
    <w:p w14:paraId="B1080000">
      <w:pPr>
        <w:widowControl w:val="0"/>
        <w:tabs>
          <w:tab w:leader="none" w:pos="8789" w:val="left"/>
        </w:tabs>
        <w:spacing w:after="0" w:line="240" w:lineRule="auto"/>
        <w:ind w:firstLine="0" w:left="5954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до 2030 года</w:t>
      </w:r>
    </w:p>
    <w:p w14:paraId="B20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B30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</w:p>
    <w:p w14:paraId="B40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опорных населенных пунктов </w:t>
      </w:r>
    </w:p>
    <w:p w14:paraId="B508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Обливского района </w:t>
      </w:r>
    </w:p>
    <w:p w14:paraId="B6080000">
      <w:pPr>
        <w:widowControl w:val="0"/>
        <w:spacing w:after="0" w:line="240" w:lineRule="auto"/>
        <w:ind w:firstLine="709" w:left="0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0"/>
        <w:gridCol w:w="2512"/>
        <w:gridCol w:w="2849"/>
        <w:gridCol w:w="3648"/>
      </w:tblGrid>
      <w:tr>
        <w:tc>
          <w:tcPr>
            <w:tcW w:type="dxa" w:w="6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7080000">
            <w:pPr>
              <w:widowControl w:val="0"/>
              <w:spacing w:after="0" w:line="21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2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8080000">
            <w:pPr>
              <w:widowControl w:val="0"/>
              <w:spacing w:after="0" w:line="21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муниципального образования</w:t>
            </w:r>
          </w:p>
        </w:tc>
        <w:tc>
          <w:tcPr>
            <w:tcW w:type="dxa" w:w="2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9080000">
            <w:pPr>
              <w:widowControl w:val="0"/>
              <w:spacing w:after="0" w:line="21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населенного пункта</w:t>
            </w:r>
          </w:p>
        </w:tc>
        <w:tc>
          <w:tcPr>
            <w:tcW w:type="dxa" w:w="3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A080000">
            <w:pPr>
              <w:widowControl w:val="0"/>
              <w:spacing w:after="0" w:line="21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Критерий, на основании которого населенный пункт включен в Перечень опорных населенных пунктов Российской Федерации</w:t>
            </w:r>
          </w:p>
        </w:tc>
      </w:tr>
    </w:tbl>
    <w:p w14:paraId="BB080000">
      <w:pPr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34"/>
        <w:gridCol w:w="2512"/>
        <w:gridCol w:w="2849"/>
        <w:gridCol w:w="3648"/>
      </w:tblGrid>
      <w:tr>
        <w:tc>
          <w:tcPr>
            <w:tcW w:type="dxa" w:w="63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C08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251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D08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28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E08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364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F08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>
        <w:tc>
          <w:tcPr>
            <w:tcW w:type="dxa" w:w="9643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0080000">
            <w:pPr>
              <w:widowControl w:val="0"/>
              <w:spacing w:after="0" w:line="21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Опорные населенные пункты,</w:t>
            </w:r>
          </w:p>
          <w:p w14:paraId="C1080000">
            <w:pPr>
              <w:widowControl w:val="0"/>
              <w:spacing w:after="0" w:line="216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входящие в состав городской агломерации</w:t>
            </w:r>
          </w:p>
        </w:tc>
      </w:tr>
      <w:tr>
        <w:tc>
          <w:tcPr>
            <w:tcW w:type="dxa" w:w="6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2080000">
            <w:pPr>
              <w:widowControl w:val="0"/>
              <w:spacing w:after="0" w:line="228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25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3080000">
            <w:pPr>
              <w:widowControl w:val="0"/>
              <w:spacing w:after="0" w:line="228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Обливский район</w:t>
            </w:r>
          </w:p>
        </w:tc>
        <w:tc>
          <w:tcPr>
            <w:tcW w:type="dxa" w:w="284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4080000">
            <w:pPr>
              <w:widowControl w:val="0"/>
              <w:spacing w:after="0" w:line="228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ст-ца Обливская</w:t>
            </w:r>
          </w:p>
        </w:tc>
        <w:tc>
          <w:tcPr>
            <w:tcW w:type="dxa" w:w="36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5080000">
            <w:pPr>
              <w:spacing w:line="240" w:lineRule="auto"/>
              <w:ind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Населенные пункты, которые являются основным центром предоставления социальных услуг для одного или нескольких муниципальных образований, определенные высшим должностным лицом субъекта Российской Федерации</w:t>
            </w:r>
          </w:p>
        </w:tc>
      </w:tr>
    </w:tbl>
    <w:p w14:paraId="C608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C708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C808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C908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CA08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CB080000">
      <w:pPr>
        <w:sectPr>
          <w:headerReference r:id="rId5" w:type="default"/>
          <w:footerReference r:id="rId4" w:type="first"/>
          <w:type w:val="nextPage"/>
          <w:pgSz w:h="16838" w:orient="portrait" w:w="11906"/>
          <w:pgMar w:bottom="1134" w:footer="624" w:gutter="0" w:header="680" w:left="1701" w:right="567" w:top="1134"/>
          <w:titlePg/>
        </w:sectPr>
      </w:pPr>
    </w:p>
    <w:p w14:paraId="CC080000">
      <w:bookmarkStart w:id="73" w:name="__RefHeading___73"/>
      <w:bookmarkEnd w:id="73"/>
      <w:pPr>
        <w:widowControl w:val="0"/>
        <w:tabs>
          <w:tab w:leader="none" w:pos="1134" w:val="left"/>
        </w:tabs>
        <w:spacing w:after="0" w:line="240" w:lineRule="auto"/>
        <w:ind w:firstLine="0" w:left="5954"/>
        <w:contextualSpacing w:val="1"/>
        <w:jc w:val="right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6</w:t>
      </w:r>
    </w:p>
    <w:p w14:paraId="CD080000">
      <w:pPr>
        <w:widowControl w:val="0"/>
        <w:spacing w:after="0" w:before="0" w:line="240" w:lineRule="auto"/>
        <w:ind w:firstLine="0" w:left="5103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Стратегии социально-</w:t>
      </w:r>
    </w:p>
    <w:p w14:paraId="CE080000">
      <w:pPr>
        <w:widowControl w:val="0"/>
        <w:spacing w:after="0" w:before="0" w:line="240" w:lineRule="auto"/>
        <w:ind w:firstLine="0" w:left="5103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экономического развития Обливского района</w:t>
      </w:r>
    </w:p>
    <w:p w14:paraId="CF080000">
      <w:pPr>
        <w:widowControl w:val="0"/>
        <w:spacing w:after="0" w:before="0" w:line="240" w:lineRule="auto"/>
        <w:ind w:firstLine="0" w:left="5103"/>
        <w:jc w:val="righ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до 2030 года</w:t>
      </w:r>
    </w:p>
    <w:p w14:paraId="D0080000">
      <w:pPr>
        <w:widowControl w:val="0"/>
        <w:spacing w:after="0" w:before="0" w:line="240" w:lineRule="auto"/>
        <w:ind w:firstLine="0" w:left="5103"/>
        <w:jc w:val="center"/>
        <w:rPr>
          <w:rFonts w:ascii="Times New Roman" w:hAnsi="Times New Roman"/>
          <w:color w:val="000000"/>
          <w:sz w:val="28"/>
        </w:rPr>
      </w:pPr>
    </w:p>
    <w:p w14:paraId="D108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ПЕРЕЧЕНЬ</w:t>
      </w:r>
    </w:p>
    <w:p w14:paraId="D208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муниципальных программ Обливского района</w:t>
      </w:r>
    </w:p>
    <w:p w14:paraId="D3080000">
      <w:pPr>
        <w:widowControl w:val="0"/>
        <w:spacing w:after="0" w:before="0" w:line="240" w:lineRule="auto"/>
        <w:ind w:firstLine="0" w:left="5103"/>
        <w:jc w:val="center"/>
        <w:rPr>
          <w:rFonts w:ascii="Times New Roman" w:hAnsi="Times New Roman"/>
          <w:color w:val="000000"/>
          <w:sz w:val="28"/>
        </w:rPr>
      </w:pPr>
    </w:p>
    <w:p w14:paraId="D408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CF543F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67"/>
        <w:gridCol w:w="3664"/>
        <w:gridCol w:w="4560"/>
        <w:gridCol w:w="3150"/>
        <w:gridCol w:w="2479"/>
      </w:tblGrid>
      <w:tr>
        <w:tc>
          <w:tcPr>
            <w:tcW w:type="dxa" w:w="6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5080000">
            <w:pPr>
              <w:spacing w:after="0"/>
              <w:ind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 п/п</w:t>
            </w:r>
          </w:p>
        </w:tc>
        <w:tc>
          <w:tcPr>
            <w:tcW w:type="dxa" w:w="3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6080000">
            <w:pPr>
              <w:spacing w:after="0"/>
              <w:ind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муниципальной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программы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7080000">
            <w:pPr>
              <w:spacing w:after="0"/>
              <w:ind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Ответственный </w:t>
            </w:r>
          </w:p>
          <w:p w14:paraId="D8080000">
            <w:pPr>
              <w:spacing w:after="0"/>
              <w:ind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исполнитель</w:t>
            </w:r>
          </w:p>
          <w:p w14:paraId="D9080000">
            <w:pPr>
              <w:spacing w:after="0"/>
              <w:ind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31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A080000">
            <w:pPr>
              <w:spacing w:after="0"/>
              <w:ind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период реализации</w:t>
            </w:r>
          </w:p>
          <w:p w14:paraId="DB080000">
            <w:pPr>
              <w:tabs>
                <w:tab w:leader="none" w:pos="3127" w:val="left"/>
              </w:tabs>
              <w:spacing w:after="0"/>
              <w:ind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247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C080000">
            <w:pPr>
              <w:spacing w:after="0"/>
              <w:ind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ресурсное обеспечение</w:t>
            </w:r>
          </w:p>
          <w:p w14:paraId="DD080000">
            <w:pPr>
              <w:spacing w:after="0"/>
              <w:ind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(тыс. руб.)</w:t>
            </w:r>
          </w:p>
        </w:tc>
      </w:tr>
    </w:tbl>
    <w:p w14:paraId="DE08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CF543F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657"/>
        <w:gridCol w:w="3689"/>
        <w:gridCol w:w="4560"/>
        <w:gridCol w:w="3167"/>
        <w:gridCol w:w="2455"/>
      </w:tblGrid>
      <w:tr>
        <w:trPr>
          <w:trHeight w:hRule="atLeast" w:val="255"/>
        </w:trP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DF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0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1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2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3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4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5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«Развитие здравоохранения» 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6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Отдел развития социальной сферы Администрации 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 ;</w:t>
            </w:r>
          </w:p>
          <w:p w14:paraId="E7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Г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БУ РО "ЦРБ" в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Обливском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районе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808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908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3681895,4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A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B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«Развитие образования»</w:t>
            </w:r>
          </w:p>
          <w:p w14:paraId="EC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i w:val="1"/>
                <w:color w:val="000000"/>
                <w:sz w:val="28"/>
              </w:rPr>
            </w:pP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D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 заведущий отделом образования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E08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EF08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3683658,3</w:t>
            </w:r>
          </w:p>
        </w:tc>
      </w:tr>
      <w:tr>
        <w:trPr>
          <w:trHeight w:hRule="atLeast" w:val="1320"/>
        </w:trP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0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1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«Молодёжная политика и социальная активность»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2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Отдел развития социальной сферы Администрации Обливского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308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408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5258,2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5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6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«Социальная поддержка граждан»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7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Отдел социальной защиты населения Обливского района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808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908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2601834,4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A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B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«Доступная среда»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C08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Отдел социальной защиты населения Обливского района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D080000">
            <w:pPr>
              <w:spacing w:after="0" w:before="0"/>
              <w:ind w:firstLine="0" w:left="0" w:righ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E080000">
            <w:pPr>
              <w:spacing w:after="0" w:before="0"/>
              <w:ind w:firstLine="0" w:left="0" w:righ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1042,5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FF08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0090000">
            <w:pPr>
              <w:spacing w:after="0" w:before="0" w:line="0" w:lineRule="atLeast"/>
              <w:ind w:firstLine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</w:rPr>
              <w:t>Территориальное планирование и</w:t>
            </w:r>
          </w:p>
          <w:p w14:paraId="01090000">
            <w:pPr>
              <w:spacing w:after="0" w:before="0" w:line="0" w:lineRule="atLeast"/>
              <w:ind w:firstLine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обеспечение доступным и комфортным </w:t>
            </w:r>
          </w:p>
          <w:p w14:paraId="02090000">
            <w:pPr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жильем населения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  <w:sz w:val="28"/>
              </w:rPr>
              <w:t>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3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Отдел муниципального хозяйства и градостроительства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4090000">
            <w:pPr>
              <w:spacing w:after="0" w:before="0"/>
              <w:ind w:firstLine="0" w:left="0" w:righ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5090000">
            <w:pPr>
              <w:spacing w:after="0" w:before="0"/>
              <w:ind w:firstLine="0" w:left="0" w:right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91782,2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9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b w:val="1"/>
                <w:i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«Обеспечение общественного порядка и профилактика правонарушений»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Начальник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и ЧС</w:t>
            </w:r>
          </w:p>
          <w:p w14:paraId="09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 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B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455,4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C09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D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b w:val="1"/>
                <w:i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«Защита населения и территории от чрезвычайных ситуаций, обеспечение пожарной безопасности и безопасности людей на водных объектах»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E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Начальник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отдела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и ЧС</w:t>
            </w:r>
          </w:p>
          <w:p w14:paraId="0F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 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0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1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10410,4</w:t>
            </w:r>
          </w:p>
        </w:tc>
      </w:tr>
      <w:tr>
        <w:trPr>
          <w:trHeight w:hRule="atLeast" w:val="753"/>
        </w:trP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209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3090000">
            <w:pPr>
              <w:pageBreakBefore w:val="1"/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«Развитие культуры и туризма»</w:t>
            </w:r>
          </w:p>
          <w:p w14:paraId="14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5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Отдел культуры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6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578512,4</w:t>
            </w:r>
          </w:p>
        </w:tc>
      </w:tr>
      <w:tr>
        <w:trPr>
          <w:trHeight w:hRule="atLeast" w:val="1734"/>
        </w:trP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9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9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«Охрана окружающей среды и рациональное природопользова</w:t>
            </w:r>
            <w:r>
              <w:rPr>
                <w:rFonts w:ascii="Times New Roman" w:hAnsi="Times New Roman"/>
                <w:color w:val="000000"/>
                <w:sz w:val="28"/>
              </w:rPr>
              <w:t>ние»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Отдел сельского хозяйства и охраны окружающей среды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 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B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21401,3</w:t>
            </w:r>
          </w:p>
        </w:tc>
      </w:tr>
      <w:tr>
        <w:trPr>
          <w:trHeight w:hRule="atLeast" w:val="1044"/>
        </w:trP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9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«Развитие физической культуры и спорта»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Отдел развития социальной сферы Администрации Обливского района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203401,9</w:t>
            </w:r>
          </w:p>
        </w:tc>
      </w:tr>
      <w:tr>
        <w:trPr>
          <w:trHeight w:hRule="atLeast" w:val="1044"/>
        </w:trP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9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«Экономическое развитие»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Отдел экономики</w:t>
            </w:r>
          </w:p>
          <w:p w14:paraId="25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 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11335,8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90000">
            <w:pPr>
              <w:pageBreakBefore w:val="1"/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13</w:t>
            </w:r>
            <w:r>
              <w:rPr>
                <w:rFonts w:ascii="Times New Roman" w:hAnsi="Times New Roman"/>
                <w:color w:val="000000"/>
                <w:sz w:val="28"/>
              </w:rPr>
              <w:t>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«Информационное общество»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Администрация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района: </w:t>
            </w: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  <w:highlight w:val="white"/>
              </w:rPr>
              <w:t>МБУ «МФЦ МО «Обливский район»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58290,8</w:t>
            </w:r>
          </w:p>
        </w:tc>
      </w:tr>
      <w:tr>
        <w:trPr>
          <w:trHeight w:hRule="atLeast" w:val="1652"/>
        </w:trP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D090000">
            <w:pPr>
              <w:spacing w:after="0" w:before="0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14.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E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«Развитие транспортной системы»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F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Отдел муниципального хозяйства и градостроительства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 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0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1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777925,8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2090000">
            <w:pPr>
              <w:spacing w:after="0" w:before="0" w:line="252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15.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3090000">
            <w:pPr>
              <w:pageBreakBefore w:val="1"/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«Развитие сельского хозяйства и регулирование рынков сельскохозяйствен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ной продукции, сырья и продовольствия» 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4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Отдел сельского хозяйства и охраны окружающей среды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5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6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81675,6</w:t>
            </w:r>
          </w:p>
        </w:tc>
      </w:tr>
      <w:tr>
        <w:trPr>
          <w:trHeight w:hRule="atLeast" w:val="1597"/>
        </w:trP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7090000">
            <w:pPr>
              <w:spacing w:after="0" w:before="0" w:line="252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16.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8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</w:rPr>
              <w:t>Энергоэффектив</w:t>
            </w:r>
            <w:r>
              <w:rPr>
                <w:rFonts w:ascii="Times New Roman" w:hAnsi="Times New Roman"/>
                <w:color w:val="000000"/>
                <w:sz w:val="28"/>
              </w:rPr>
              <w:t>ность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и развитие </w:t>
            </w:r>
            <w:r>
              <w:rPr>
                <w:rFonts w:ascii="Times New Roman" w:hAnsi="Times New Roman"/>
                <w:color w:val="000000"/>
                <w:sz w:val="28"/>
              </w:rPr>
              <w:t>промышленности и энергетики»</w:t>
            </w:r>
          </w:p>
          <w:p w14:paraId="39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A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Отдел муниципального хозяйства и </w:t>
            </w:r>
            <w:r>
              <w:rPr>
                <w:rFonts w:ascii="Times New Roman" w:hAnsi="Times New Roman"/>
                <w:color w:val="000000"/>
                <w:sz w:val="28"/>
              </w:rPr>
              <w:t>градостроительства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B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C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5576,8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D090000">
            <w:pPr>
              <w:spacing w:after="0" w:before="0" w:line="252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17.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E090000">
            <w:pPr>
              <w:spacing w:after="0" w:before="0" w:line="252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«Районная политика»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F090000">
            <w:pPr>
              <w:spacing w:after="0" w:before="0" w:line="252" w:lineRule="auto"/>
              <w:ind w:firstLine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Администрация Обливского района (сектор по общим вопросам)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0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1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481148,2</w:t>
            </w:r>
          </w:p>
        </w:tc>
      </w:tr>
      <w:tr>
        <w:trPr>
          <w:trHeight w:hRule="atLeast" w:val="1048"/>
        </w:trP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90000">
            <w:pPr>
              <w:spacing w:after="0" w:before="0" w:line="252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18.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3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«Поддержка казачьих обществ </w:t>
            </w:r>
            <w:r>
              <w:rPr>
                <w:rFonts w:ascii="Times New Roman" w:hAnsi="Times New Roman"/>
                <w:color w:val="000000"/>
                <w:sz w:val="28"/>
              </w:rPr>
              <w:t>Обливкого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  <w:r>
              <w:rPr>
                <w:rFonts w:ascii="Times New Roman" w:hAnsi="Times New Roman"/>
                <w:color w:val="000000"/>
                <w:sz w:val="28"/>
              </w:rPr>
              <w:t>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4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отдел сельского хозяйства и охраны окружающей среды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6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37403,7</w:t>
            </w:r>
          </w:p>
        </w:tc>
      </w:tr>
      <w:tr>
        <w:trPr>
          <w:trHeight w:hRule="atLeast" w:val="395"/>
        </w:trP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7090000">
            <w:pPr>
              <w:spacing w:after="0" w:before="0" w:line="252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19.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8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«Управление муниципальными финансами»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9090000">
            <w:pPr>
              <w:spacing w:after="0" w:before="0" w:line="252" w:lineRule="auto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Финансовый отдел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B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389065,4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C090000">
            <w:pPr>
              <w:spacing w:after="0" w:before="0" w:line="252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D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«Обеспечение качественными жилищно-коммунальными услугами населения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E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Отдел муниципального хозяйства и градостроительства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</w:p>
          <w:p w14:paraId="4F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0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1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1298167,7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2090000">
            <w:pPr>
              <w:spacing w:after="0" w:before="0" w:line="252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21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3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«Комплексное развитие сельских территорий»</w:t>
            </w: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Отдел муниципального хозяйства и градостроительства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5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2019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6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391218,5</w:t>
            </w:r>
          </w:p>
        </w:tc>
      </w:tr>
      <w:tr>
        <w:tc>
          <w:tcPr>
            <w:tcW w:type="dxa" w:w="6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7090000">
            <w:pPr>
              <w:spacing w:after="0" w:before="0" w:line="252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22</w:t>
            </w:r>
          </w:p>
        </w:tc>
        <w:tc>
          <w:tcPr>
            <w:tcW w:type="dxa" w:w="368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8090000">
            <w:pPr>
              <w:tabs>
                <w:tab w:leader="none" w:pos="4500" w:val="left"/>
              </w:tabs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«Формирование современной городской среды</w:t>
            </w:r>
          </w:p>
          <w:p w14:paraId="59090000">
            <w:pPr>
              <w:tabs>
                <w:tab w:leader="none" w:pos="4500" w:val="left"/>
              </w:tabs>
              <w:spacing w:after="0" w:before="0"/>
              <w:ind w:firstLine="0" w:left="0" w:right="0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на территории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района»</w:t>
            </w:r>
          </w:p>
          <w:p w14:paraId="5A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45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B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Отдел муниципального хозяйства и градостроительства Администрации </w:t>
            </w:r>
            <w:r>
              <w:rPr>
                <w:rFonts w:ascii="Times New Roman" w:hAnsi="Times New Roman"/>
                <w:color w:val="000000"/>
                <w:sz w:val="28"/>
              </w:rPr>
              <w:t>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</w:t>
            </w:r>
          </w:p>
          <w:p w14:paraId="5C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31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D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2020 – 2030 годы</w:t>
            </w:r>
          </w:p>
        </w:tc>
        <w:tc>
          <w:tcPr>
            <w:tcW w:type="dxa" w:w="24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themeFill="background1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90000">
            <w:pPr>
              <w:spacing w:after="0" w:before="0"/>
              <w:ind w:firstLine="0" w:left="0" w:right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99178,3</w:t>
            </w:r>
          </w:p>
        </w:tc>
      </w:tr>
    </w:tbl>
    <w:p w14:paraId="5F090000">
      <w:pPr>
        <w:widowControl w:val="0"/>
        <w:tabs>
          <w:tab w:leader="none" w:pos="1134" w:val="left"/>
        </w:tabs>
        <w:spacing w:after="0" w:before="0" w:line="240" w:lineRule="auto"/>
        <w:ind w:firstLine="0" w:left="5670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60090000">
      <w:pPr>
        <w:widowControl w:val="0"/>
        <w:tabs>
          <w:tab w:leader="none" w:pos="1134" w:val="left"/>
        </w:tabs>
        <w:spacing w:after="0" w:before="0" w:line="240" w:lineRule="auto"/>
        <w:ind w:firstLine="0" w:left="5670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61090000">
      <w:pPr>
        <w:widowControl w:val="0"/>
        <w:tabs>
          <w:tab w:leader="none" w:pos="1134" w:val="left"/>
        </w:tabs>
        <w:spacing w:after="0" w:before="0" w:line="240" w:lineRule="auto"/>
        <w:ind w:firstLine="0" w:left="5670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62090000">
      <w:pPr>
        <w:widowControl w:val="0"/>
        <w:tabs>
          <w:tab w:leader="none" w:pos="1134" w:val="left"/>
        </w:tabs>
        <w:spacing w:after="0" w:before="0" w:line="240" w:lineRule="auto"/>
        <w:ind w:firstLine="0" w:left="5670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63090000">
      <w:pPr>
        <w:widowControl w:val="0"/>
        <w:tabs>
          <w:tab w:leader="none" w:pos="1134" w:val="left"/>
        </w:tabs>
        <w:spacing w:after="0" w:before="0" w:line="240" w:lineRule="auto"/>
        <w:ind w:firstLine="0" w:left="5670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64090000">
      <w:pPr>
        <w:widowControl w:val="0"/>
        <w:tabs>
          <w:tab w:leader="none" w:pos="1134" w:val="left"/>
        </w:tabs>
        <w:spacing w:after="0" w:before="0" w:line="240" w:lineRule="auto"/>
        <w:ind w:firstLine="0" w:left="5670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65090000">
      <w:bookmarkStart w:id="74" w:name="__RefHeading___74"/>
      <w:bookmarkEnd w:id="74"/>
      <w:pPr>
        <w:widowControl w:val="0"/>
        <w:tabs>
          <w:tab w:leader="none" w:pos="1134" w:val="left"/>
        </w:tabs>
        <w:spacing w:after="0" w:line="240" w:lineRule="auto"/>
        <w:ind w:firstLine="0" w:left="10773"/>
        <w:contextualSpacing w:val="1"/>
        <w:jc w:val="center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№ 7</w:t>
      </w:r>
    </w:p>
    <w:p w14:paraId="66090000">
      <w:pPr>
        <w:widowControl w:val="0"/>
        <w:spacing w:after="0" w:line="240" w:lineRule="auto"/>
        <w:ind w:firstLine="0" w:left="10773"/>
        <w:contextualSpacing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Стратегии социально-</w:t>
      </w:r>
    </w:p>
    <w:p w14:paraId="67090000">
      <w:pPr>
        <w:widowControl w:val="0"/>
        <w:spacing w:after="0" w:line="240" w:lineRule="auto"/>
        <w:ind w:firstLine="0" w:left="10773"/>
        <w:contextualSpacing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экономического развития Обливского</w:t>
      </w:r>
      <w:r>
        <w:rPr>
          <w:rFonts w:ascii="Times New Roman" w:hAnsi="Times New Roman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 </w:t>
      </w:r>
    </w:p>
    <w:p w14:paraId="68090000">
      <w:pPr>
        <w:widowControl w:val="0"/>
        <w:spacing w:after="0" w:line="240" w:lineRule="auto"/>
        <w:ind w:firstLine="0" w:left="10773"/>
        <w:contextualSpacing w:val="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до 2030 года</w:t>
      </w:r>
    </w:p>
    <w:p w14:paraId="6909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p w14:paraId="6A09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ПЕРЕЧЕНЬ</w:t>
      </w:r>
    </w:p>
    <w:p w14:paraId="6B09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приоритетных инвестиционных проектов</w:t>
      </w:r>
    </w:p>
    <w:p w14:paraId="6C090000">
      <w:pPr>
        <w:widowControl w:val="0"/>
        <w:spacing w:after="0" w:line="240" w:lineRule="auto"/>
        <w:ind/>
        <w:jc w:val="center"/>
        <w:rPr>
          <w:rFonts w:ascii="Times New Roman" w:hAnsi="Times New Roman"/>
          <w:sz w:val="28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660"/>
        <w:gridCol w:w="2617"/>
        <w:gridCol w:w="3438"/>
        <w:gridCol w:w="2617"/>
        <w:gridCol w:w="1791"/>
        <w:gridCol w:w="2913"/>
      </w:tblGrid>
      <w:tr>
        <w:tc>
          <w:tcPr>
            <w:tcW w:type="dxa" w:w="660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 п/п</w:t>
            </w:r>
          </w:p>
        </w:tc>
        <w:tc>
          <w:tcPr>
            <w:tcW w:type="dxa" w:w="6055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проекте</w:t>
            </w:r>
          </w:p>
        </w:tc>
        <w:tc>
          <w:tcPr>
            <w:tcW w:type="dxa" w:w="261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6F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образование, в котором реализуется проект</w:t>
            </w:r>
          </w:p>
        </w:tc>
        <w:tc>
          <w:tcPr>
            <w:tcW w:type="dxa" w:w="179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0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Год ввода </w:t>
            </w:r>
          </w:p>
          <w:p w14:paraId="71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эксплуатацию</w:t>
            </w:r>
          </w:p>
        </w:tc>
        <w:tc>
          <w:tcPr>
            <w:tcW w:type="dxa" w:w="291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Стоимость инвестиционного проекта</w:t>
            </w:r>
          </w:p>
          <w:p w14:paraId="7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(млн рублей)</w:t>
            </w:r>
          </w:p>
        </w:tc>
      </w:tr>
      <w:tr>
        <w:tc>
          <w:tcPr>
            <w:tcW w:type="dxa" w:w="660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4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инициатор инвестиционного проекта Обливского</w:t>
            </w:r>
            <w:r>
              <w:rPr>
                <w:rFonts w:ascii="Times New Roman" w:hAnsi="Times New Roman"/>
                <w:sz w:val="28"/>
              </w:rPr>
              <w:t xml:space="preserve"> района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5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название и суть инвестиционного проекта </w:t>
            </w:r>
          </w:p>
          <w:p w14:paraId="76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(в том числе мощность)</w:t>
            </w:r>
          </w:p>
        </w:tc>
        <w:tc>
          <w:tcPr>
            <w:tcW w:type="dxa" w:w="261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179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  <w:tc>
          <w:tcPr>
            <w:tcW w:type="dxa" w:w="291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/>
        </w:tc>
      </w:tr>
    </w:tbl>
    <w:p w14:paraId="77090000">
      <w:pPr>
        <w:spacing w:after="0" w:line="240" w:lineRule="auto"/>
        <w:ind/>
        <w:rPr>
          <w:rFonts w:ascii="Times New Roman" w:hAnsi="Times New Roman"/>
          <w:sz w:val="2"/>
        </w:rPr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57"/>
          <w:bottom w:type="dxa" w:w="0"/>
          <w:right w:type="dxa" w:w="57"/>
        </w:tblCellMar>
      </w:tblPr>
      <w:tblGrid>
        <w:gridCol w:w="660"/>
        <w:gridCol w:w="2617"/>
        <w:gridCol w:w="3438"/>
        <w:gridCol w:w="2617"/>
        <w:gridCol w:w="1792"/>
        <w:gridCol w:w="2912"/>
      </w:tblGrid>
      <w:tr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8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9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A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B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type="dxa" w:w="1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C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type="dxa" w:w="2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D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</w:tr>
      <w:tr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E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7F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Администрация Обливского  района</w:t>
            </w:r>
          </w:p>
        </w:tc>
        <w:tc>
          <w:tcPr>
            <w:tcW w:type="dxa" w:w="34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  <w:vAlign w:val="center"/>
          </w:tcPr>
          <w:p w14:paraId="80090000">
            <w:pPr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«Реконструкция системы водоснабжения</w:t>
            </w:r>
            <w:r>
              <w:rPr>
                <w:rFonts w:ascii="Times New Roman" w:hAnsi="Times New Roman"/>
                <w:b w:val="0"/>
                <w:sz w:val="28"/>
              </w:rPr>
              <w:t xml:space="preserve">                         </w:t>
            </w:r>
            <w:r>
              <w:rPr>
                <w:rFonts w:ascii="Times New Roman" w:hAnsi="Times New Roman"/>
                <w:b w:val="0"/>
                <w:sz w:val="28"/>
              </w:rPr>
              <w:t xml:space="preserve"> ст. Обливской Обливского района Ростовской области»</w:t>
            </w:r>
          </w:p>
        </w:tc>
        <w:tc>
          <w:tcPr>
            <w:tcW w:type="dxa" w:w="261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1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Обливское сельское поселение</w:t>
            </w:r>
          </w:p>
        </w:tc>
        <w:tc>
          <w:tcPr>
            <w:tcW w:type="dxa" w:w="17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2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2027</w:t>
            </w:r>
          </w:p>
        </w:tc>
        <w:tc>
          <w:tcPr>
            <w:tcW w:type="dxa" w:w="2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309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1 062,00</w:t>
            </w:r>
          </w:p>
        </w:tc>
      </w:tr>
      <w:tr>
        <w:tc>
          <w:tcPr>
            <w:tcW w:type="dxa" w:w="1112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409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Итого</w:t>
            </w:r>
          </w:p>
        </w:tc>
        <w:tc>
          <w:tcPr>
            <w:tcW w:type="dxa" w:w="291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57"/>
              <w:bottom w:type="dxa" w:w="0"/>
              <w:right w:type="dxa" w:w="57"/>
            </w:tcMar>
          </w:tcPr>
          <w:p w14:paraId="85090000">
            <w:pPr>
              <w:widowControl w:val="0"/>
              <w:tabs>
                <w:tab w:leader="none" w:pos="394" w:val="left"/>
                <w:tab w:leader="none" w:pos="1044" w:val="center"/>
              </w:tabs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1 062,00</w:t>
            </w:r>
          </w:p>
        </w:tc>
      </w:tr>
    </w:tbl>
    <w:p w14:paraId="86090000">
      <w:pPr>
        <w:widowControl w:val="0"/>
        <w:tabs>
          <w:tab w:leader="none" w:pos="1134" w:val="left"/>
        </w:tabs>
        <w:spacing w:after="0" w:before="0" w:line="240" w:lineRule="auto"/>
        <w:ind w:firstLine="0" w:left="5103"/>
        <w:contextualSpacing w:val="1"/>
        <w:jc w:val="center"/>
        <w:outlineLvl w:val="2"/>
        <w:rPr>
          <w:rFonts w:ascii="Times New Roman" w:hAnsi="Times New Roman"/>
          <w:color w:val="000000"/>
          <w:sz w:val="28"/>
        </w:rPr>
      </w:pPr>
    </w:p>
    <w:p w14:paraId="87090000">
      <w:pPr>
        <w:sectPr>
          <w:headerReference r:id="rId10" w:type="default"/>
          <w:footerReference r:id="rId9" w:type="first"/>
          <w:type w:val="nextPage"/>
          <w:pgSz w:h="11908" w:orient="landscape" w:w="16848"/>
          <w:pgMar w:bottom="1134" w:footer="624" w:gutter="0" w:header="680" w:left="1701" w:right="567" w:top="1134"/>
          <w:titlePg/>
        </w:sectPr>
      </w:pPr>
    </w:p>
    <w:p w14:paraId="88090000">
      <w:bookmarkStart w:id="75" w:name="__RefHeading___75"/>
      <w:bookmarkEnd w:id="75"/>
      <w:pPr>
        <w:pStyle w:val="Style_8"/>
      </w:pPr>
      <w:r>
        <w:t xml:space="preserve">                                                                              Приложение № 8</w:t>
      </w:r>
    </w:p>
    <w:p w14:paraId="89090000">
      <w:pPr>
        <w:widowControl w:val="0"/>
        <w:spacing w:after="0" w:before="0" w:line="240" w:lineRule="auto"/>
        <w:ind w:firstLine="0" w:left="567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 Стратегии социально-</w:t>
      </w:r>
    </w:p>
    <w:p w14:paraId="8A090000">
      <w:pPr>
        <w:widowControl w:val="0"/>
        <w:spacing w:after="0" w:before="0" w:line="240" w:lineRule="auto"/>
        <w:ind w:firstLine="0" w:left="5670"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экономического развития Обливского района до 2030 года</w:t>
      </w:r>
    </w:p>
    <w:p w14:paraId="8B09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</w:p>
    <w:p w14:paraId="8C09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ЦЕЛЕВЫЕ ПОКАЗАТЕЛИ</w:t>
      </w:r>
    </w:p>
    <w:p w14:paraId="8D09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социально-экономического развития Обливского района</w:t>
      </w:r>
    </w:p>
    <w:p w14:paraId="8E090000">
      <w:pPr>
        <w:widowControl w:val="0"/>
        <w:spacing w:after="0" w:before="0" w:line="240" w:lineRule="auto"/>
        <w:ind/>
        <w:jc w:val="center"/>
        <w:rPr>
          <w:rFonts w:ascii="Times New Roman" w:hAnsi="Times New Roman"/>
          <w:color w:val="CF543F"/>
          <w:sz w:val="28"/>
        </w:rPr>
      </w:pPr>
    </w:p>
    <w:tbl>
      <w:tblPr>
        <w:tblStyle w:val="Style_11"/>
        <w:tblW w:type="auto" w:w="0"/>
        <w:tblLayout w:type="fixed"/>
      </w:tblPr>
      <w:tblGrid>
        <w:gridCol w:w="503"/>
        <w:gridCol w:w="5664"/>
        <w:gridCol w:w="1077"/>
        <w:gridCol w:w="1155"/>
        <w:gridCol w:w="1155"/>
      </w:tblGrid>
      <w:tr>
        <w:trPr>
          <w:tblHeader/>
        </w:trPr>
        <w:tc>
          <w:tcPr>
            <w:tcW w:type="dxa" w:w="503"/>
            <w:shd w:fill="auto" w:val="clear"/>
          </w:tcPr>
          <w:p w14:paraId="8F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№</w:t>
            </w:r>
          </w:p>
        </w:tc>
        <w:tc>
          <w:tcPr>
            <w:tcW w:type="dxa" w:w="5664"/>
            <w:shd w:fill="auto" w:val="clear"/>
          </w:tcPr>
          <w:p w14:paraId="90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Национальные цели / разделы / показатели</w:t>
            </w:r>
          </w:p>
        </w:tc>
        <w:tc>
          <w:tcPr>
            <w:tcW w:type="dxa" w:w="1077"/>
            <w:shd w:fill="auto" w:val="clear"/>
          </w:tcPr>
          <w:p w14:paraId="91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2025</w:t>
            </w:r>
          </w:p>
        </w:tc>
        <w:tc>
          <w:tcPr>
            <w:tcW w:type="dxa" w:w="1155"/>
            <w:shd w:fill="auto" w:val="clear"/>
          </w:tcPr>
          <w:p w14:paraId="92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2026</w:t>
            </w:r>
          </w:p>
        </w:tc>
        <w:tc>
          <w:tcPr>
            <w:tcW w:type="dxa" w:w="1155"/>
            <w:shd w:fill="auto" w:val="clear"/>
          </w:tcPr>
          <w:p w14:paraId="93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2030</w:t>
            </w:r>
          </w:p>
        </w:tc>
      </w:tr>
    </w:tbl>
    <w:p w14:paraId="94090000">
      <w:pPr>
        <w:spacing w:after="0" w:before="0" w:line="240" w:lineRule="auto"/>
        <w:ind/>
        <w:rPr>
          <w:rFonts w:ascii="Times New Roman" w:hAnsi="Times New Roman"/>
          <w:color w:val="CF543F"/>
          <w:sz w:val="2"/>
        </w:rPr>
      </w:pPr>
    </w:p>
    <w:tbl>
      <w:tblPr>
        <w:tblStyle w:val="Style_11"/>
        <w:tblW w:type="auto" w:w="0"/>
        <w:tblLayout w:type="fixed"/>
      </w:tblPr>
      <w:tblGrid>
        <w:gridCol w:w="480"/>
        <w:gridCol w:w="5664"/>
        <w:gridCol w:w="1100"/>
        <w:gridCol w:w="1155"/>
        <w:gridCol w:w="1155"/>
      </w:tblGrid>
      <w:tr>
        <w:trPr>
          <w:tblHeader/>
        </w:trPr>
        <w:tc>
          <w:tcPr>
            <w:tcW w:type="dxa" w:w="480"/>
            <w:shd w:fill="auto" w:val="clear"/>
          </w:tcPr>
          <w:p w14:paraId="95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type="dxa" w:w="5664"/>
            <w:shd w:fill="auto" w:val="clear"/>
          </w:tcPr>
          <w:p w14:paraId="96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type="dxa" w:w="1100"/>
            <w:shd w:fill="auto" w:val="clear"/>
          </w:tcPr>
          <w:p w14:paraId="97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type="dxa" w:w="1155"/>
            <w:shd w:fill="auto" w:val="clear"/>
          </w:tcPr>
          <w:p w14:paraId="98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type="dxa" w:w="1155"/>
            <w:shd w:fill="auto" w:val="clear"/>
          </w:tcPr>
          <w:p w14:paraId="99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>
        <w:trPr>
          <w:trHeight w:hRule="atLeast" w:val="307"/>
        </w:trPr>
        <w:tc>
          <w:tcPr>
            <w:tcW w:type="dxa" w:w="9554"/>
            <w:gridSpan w:val="5"/>
            <w:shd w:fill="auto" w:val="clear"/>
          </w:tcPr>
          <w:p w14:paraId="9A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4.1. Сохранение населения, укрепление здоровья </w:t>
            </w:r>
          </w:p>
          <w:p w14:paraId="9B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и повышение благополучия людей, поддержка семьи в Обливском районе</w:t>
            </w:r>
          </w:p>
        </w:tc>
      </w:tr>
      <w:tr>
        <w:trPr>
          <w:trHeight w:hRule="atLeast" w:val="307"/>
        </w:trPr>
        <w:tc>
          <w:tcPr>
            <w:tcW w:type="dxa" w:w="9554"/>
            <w:gridSpan w:val="5"/>
            <w:shd w:fill="auto" w:val="clear"/>
          </w:tcPr>
          <w:p w14:paraId="9C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4.1.1 Демография</w:t>
            </w:r>
          </w:p>
        </w:tc>
      </w:tr>
      <w:tr>
        <w:trPr>
          <w:trHeight w:hRule="atLeast" w:val="1915"/>
        </w:trPr>
        <w:tc>
          <w:tcPr>
            <w:tcW w:type="dxa" w:w="480"/>
            <w:shd w:fill="auto" w:val="clear"/>
          </w:tcPr>
          <w:p w14:paraId="9D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  <w:shd w:fill="auto" w:val="clear"/>
          </w:tcPr>
          <w:p w14:paraId="9E09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Доля граждан, получивших социальные услуги в учреждениях социального обслуживания населения, в общем числе граждан, обратившихся за получением социальных услуг в учреждения социального обслуживания населения</w:t>
            </w:r>
            <w:r>
              <w:rPr>
                <w:rFonts w:ascii="Times New Roman" w:hAnsi="Times New Roman"/>
                <w:sz w:val="28"/>
              </w:rPr>
              <w:t xml:space="preserve"> (процентов)</w:t>
            </w:r>
          </w:p>
        </w:tc>
        <w:tc>
          <w:tcPr>
            <w:tcW w:type="dxa" w:w="1100"/>
            <w:shd w:fill="auto" w:val="clear"/>
          </w:tcPr>
          <w:p w14:paraId="9F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  <w:tc>
          <w:tcPr>
            <w:tcW w:type="dxa" w:w="1155"/>
            <w:shd w:fill="auto" w:val="clear"/>
          </w:tcPr>
          <w:p w14:paraId="A0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  <w:tc>
          <w:tcPr>
            <w:tcW w:type="dxa" w:w="1155"/>
            <w:shd w:fill="auto" w:val="clear"/>
          </w:tcPr>
          <w:p w14:paraId="A1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A2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4.1.2. Здравоохранение</w:t>
            </w:r>
          </w:p>
        </w:tc>
      </w:tr>
      <w:tr>
        <w:tc>
          <w:tcPr>
            <w:tcW w:type="dxa" w:w="480"/>
            <w:shd w:fill="auto" w:val="clear"/>
          </w:tcPr>
          <w:p w14:paraId="A3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  <w:shd w:fill="auto" w:val="clear"/>
          </w:tcPr>
          <w:p w14:paraId="A409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 Приобретение транспортных средств (за исключением автомобилей скорой медицинской помощи)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в медицинские организации, оказывающие первичную медико-санитарную помощь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,</w:t>
            </w:r>
          </w:p>
          <w:p w14:paraId="A509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0"/>
                <w:i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b w:val="0"/>
                <w:i w:val="1"/>
                <w:color w:val="000000"/>
                <w:sz w:val="28"/>
              </w:rPr>
              <w:t>шт.</w:t>
            </w:r>
          </w:p>
        </w:tc>
        <w:tc>
          <w:tcPr>
            <w:tcW w:type="dxa" w:w="1100"/>
            <w:shd w:fill="auto" w:val="clear"/>
          </w:tcPr>
          <w:p w14:paraId="A6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1155"/>
            <w:shd w:fill="auto" w:val="clear"/>
          </w:tcPr>
          <w:p w14:paraId="A7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  <w:tc>
          <w:tcPr>
            <w:tcW w:type="dxa" w:w="1155"/>
            <w:shd w:fill="auto" w:val="clear"/>
          </w:tcPr>
          <w:p w14:paraId="A8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</w:t>
            </w:r>
          </w:p>
        </w:tc>
      </w:tr>
      <w:tr>
        <w:tc>
          <w:tcPr>
            <w:tcW w:type="dxa" w:w="480"/>
            <w:shd w:fill="auto" w:val="clear"/>
          </w:tcPr>
          <w:p w14:paraId="A9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A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Суммарный коэффициент рождаемости (коэффициент)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B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1,278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C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1,278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D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1,441</w:t>
            </w:r>
          </w:p>
        </w:tc>
      </w:tr>
      <w:tr>
        <w:tc>
          <w:tcPr>
            <w:tcW w:type="dxa" w:w="480"/>
          </w:tcPr>
          <w:p w14:paraId="AE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66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F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Уровень бедности (процентов)</w:t>
            </w:r>
          </w:p>
        </w:tc>
        <w:tc>
          <w:tcPr>
            <w:tcW w:type="dxa" w:w="110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0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8,75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1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8,75</w:t>
            </w:r>
          </w:p>
        </w:tc>
        <w:tc>
          <w:tcPr>
            <w:tcW w:type="dxa" w:w="115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B2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7,00</w:t>
            </w:r>
          </w:p>
        </w:tc>
      </w:tr>
      <w:tr>
        <w:trPr>
          <w:trHeight w:hRule="atLeast" w:val="338"/>
        </w:trPr>
        <w:tc>
          <w:tcPr>
            <w:tcW w:type="dxa" w:w="9554"/>
            <w:gridSpan w:val="5"/>
            <w:shd w:fill="auto" w:val="clear"/>
          </w:tcPr>
          <w:p w14:paraId="B309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4.1.3. Спорт</w:t>
            </w:r>
          </w:p>
        </w:tc>
      </w:tr>
      <w:tr>
        <w:tc>
          <w:tcPr>
            <w:tcW w:type="dxa" w:w="480"/>
          </w:tcPr>
          <w:p w14:paraId="B409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B509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граждан, систематически занимающихся физической культурой и спортом (процентов)</w:t>
            </w:r>
          </w:p>
        </w:tc>
        <w:tc>
          <w:tcPr>
            <w:tcW w:type="dxa" w:w="1100"/>
          </w:tcPr>
          <w:p w14:paraId="B609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60,2</w:t>
            </w:r>
          </w:p>
        </w:tc>
        <w:tc>
          <w:tcPr>
            <w:tcW w:type="dxa" w:w="1155"/>
          </w:tcPr>
          <w:p w14:paraId="B709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62,0</w:t>
            </w:r>
          </w:p>
        </w:tc>
        <w:tc>
          <w:tcPr>
            <w:tcW w:type="dxa" w:w="1155"/>
          </w:tcPr>
          <w:p w14:paraId="B809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70,0</w:t>
            </w:r>
          </w:p>
        </w:tc>
      </w:tr>
      <w:tr>
        <w:tc>
          <w:tcPr>
            <w:tcW w:type="dxa" w:w="480"/>
          </w:tcPr>
          <w:p w14:paraId="B909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BA090000">
            <w:pPr>
              <w:spacing w:after="0" w:line="192" w:lineRule="auto"/>
              <w:ind/>
              <w:contextualSpacing w:val="1"/>
              <w:jc w:val="both"/>
              <w:rPr>
                <w:rFonts w:ascii="Times New Roman" w:hAnsi="Times New Roman"/>
                <w:b w:val="0"/>
                <w:i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Уровень обеспеченности граждан спортивными сооружениями исходя из единовременной пропускной способности объектов спорта (процентов)</w:t>
            </w:r>
          </w:p>
          <w:p w14:paraId="BB09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both"/>
              <w:rPr>
                <w:rFonts w:ascii="Times New Roman" w:hAnsi="Times New Roman"/>
                <w:b w:val="0"/>
                <w:color w:val="000000"/>
                <w:sz w:val="28"/>
              </w:rPr>
            </w:pPr>
          </w:p>
        </w:tc>
        <w:tc>
          <w:tcPr>
            <w:tcW w:type="dxa" w:w="1100"/>
          </w:tcPr>
          <w:p w14:paraId="BC09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109,31</w:t>
            </w:r>
          </w:p>
        </w:tc>
        <w:tc>
          <w:tcPr>
            <w:tcW w:type="dxa" w:w="1155"/>
          </w:tcPr>
          <w:p w14:paraId="BD09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109,32</w:t>
            </w:r>
          </w:p>
        </w:tc>
        <w:tc>
          <w:tcPr>
            <w:tcW w:type="dxa" w:w="1155"/>
          </w:tcPr>
          <w:p w14:paraId="BE09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109,35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BF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4.2. Реализация потенциала каждого человека, развитие его талантов,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воспитание патриотичной и социально ответственной личн</w:t>
            </w:r>
            <w:r>
              <w:rPr>
                <w:rFonts w:ascii="Times New Roman" w:hAnsi="Times New Roman"/>
                <w:color w:val="000000"/>
                <w:sz w:val="28"/>
              </w:rPr>
              <w:t>ости в Обливском районе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C0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4.2.1. Образование</w:t>
            </w:r>
          </w:p>
        </w:tc>
      </w:tr>
      <w:tr>
        <w:tc>
          <w:tcPr>
            <w:tcW w:type="dxa" w:w="480"/>
          </w:tcPr>
          <w:p w14:paraId="C1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C2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Доля обучающихся 6-11 классов, охваченных комплексом профориентационных мероприятий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в рамках Единой модели профориентации (процентов)</w:t>
            </w:r>
          </w:p>
        </w:tc>
        <w:tc>
          <w:tcPr>
            <w:tcW w:type="dxa" w:w="1100"/>
          </w:tcPr>
          <w:p w14:paraId="C3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43,0</w:t>
            </w:r>
          </w:p>
        </w:tc>
        <w:tc>
          <w:tcPr>
            <w:tcW w:type="dxa" w:w="1155"/>
          </w:tcPr>
          <w:p w14:paraId="C4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46,0</w:t>
            </w:r>
          </w:p>
        </w:tc>
        <w:tc>
          <w:tcPr>
            <w:tcW w:type="dxa" w:w="1155"/>
          </w:tcPr>
          <w:p w14:paraId="C5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58,0</w:t>
            </w:r>
          </w:p>
        </w:tc>
      </w:tr>
      <w:tr>
        <w:tc>
          <w:tcPr>
            <w:tcW w:type="dxa" w:w="480"/>
          </w:tcPr>
          <w:p w14:paraId="C6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C7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детей в возрасте от 5 до 18 лет, охваченных услугами дополнительного образования (процентов)</w:t>
            </w:r>
          </w:p>
        </w:tc>
        <w:tc>
          <w:tcPr>
            <w:tcW w:type="dxa" w:w="1100"/>
          </w:tcPr>
          <w:p w14:paraId="C8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83,26</w:t>
            </w:r>
          </w:p>
        </w:tc>
        <w:tc>
          <w:tcPr>
            <w:tcW w:type="dxa" w:w="1155"/>
          </w:tcPr>
          <w:p w14:paraId="C9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83,56</w:t>
            </w:r>
          </w:p>
        </w:tc>
        <w:tc>
          <w:tcPr>
            <w:tcW w:type="dxa" w:w="1155"/>
          </w:tcPr>
          <w:p w14:paraId="CA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84,96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CB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4.2.2. Культура</w:t>
            </w:r>
          </w:p>
        </w:tc>
      </w:tr>
      <w:tr>
        <w:tc>
          <w:tcPr>
            <w:tcW w:type="dxa" w:w="480"/>
          </w:tcPr>
          <w:p w14:paraId="CC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CD090000">
            <w:pPr>
              <w:spacing w:after="0" w:line="240" w:lineRule="auto"/>
              <w:ind w:firstLine="0" w:left="0"/>
              <w:jc w:val="left"/>
              <w:rPr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 Уровень удовлетворенности граждан работой государственных и муниципальных организаций культуры, искусства и народного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 творчества (процентов)</w:t>
            </w:r>
          </w:p>
        </w:tc>
        <w:tc>
          <w:tcPr>
            <w:tcW w:type="dxa" w:w="1100"/>
          </w:tcPr>
          <w:p w14:paraId="CE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73,5</w:t>
            </w:r>
          </w:p>
        </w:tc>
        <w:tc>
          <w:tcPr>
            <w:tcW w:type="dxa" w:w="1155"/>
          </w:tcPr>
          <w:p w14:paraId="CF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76,4</w:t>
            </w:r>
          </w:p>
        </w:tc>
        <w:tc>
          <w:tcPr>
            <w:tcW w:type="dxa" w:w="1155"/>
          </w:tcPr>
          <w:p w14:paraId="D0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85,3</w:t>
            </w:r>
          </w:p>
        </w:tc>
      </w:tr>
      <w:tr>
        <w:tc>
          <w:tcPr>
            <w:tcW w:type="dxa" w:w="480"/>
          </w:tcPr>
          <w:p w14:paraId="D1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D2090000">
            <w:pPr>
              <w:widowControl w:val="0"/>
              <w:spacing w:after="0" w:line="228" w:lineRule="auto"/>
              <w:ind w:firstLine="0" w:left="0"/>
              <w:contextualSpacing w:val="1"/>
              <w:jc w:val="left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Увеличение числа посещений организаций культуры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по отношению к 2023 году (процентов)</w:t>
            </w:r>
          </w:p>
        </w:tc>
        <w:tc>
          <w:tcPr>
            <w:tcW w:type="dxa" w:w="1100"/>
          </w:tcPr>
          <w:p w14:paraId="D3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110</w:t>
            </w:r>
          </w:p>
        </w:tc>
        <w:tc>
          <w:tcPr>
            <w:tcW w:type="dxa" w:w="1155"/>
          </w:tcPr>
          <w:p w14:paraId="D4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115</w:t>
            </w:r>
          </w:p>
        </w:tc>
        <w:tc>
          <w:tcPr>
            <w:tcW w:type="dxa" w:w="1155"/>
          </w:tcPr>
          <w:p w14:paraId="D5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135</w:t>
            </w:r>
          </w:p>
        </w:tc>
      </w:tr>
      <w:tr>
        <w:tc>
          <w:tcPr>
            <w:tcW w:type="dxa" w:w="480"/>
          </w:tcPr>
          <w:p w14:paraId="D6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664"/>
          </w:tcPr>
          <w:p w14:paraId="D7090000">
            <w:pPr>
              <w:widowControl w:val="0"/>
              <w:spacing w:after="0" w:line="228" w:lineRule="auto"/>
              <w:ind w:firstLine="0" w:left="0"/>
              <w:contextualSpacing w:val="1"/>
              <w:jc w:val="left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Доля зданий учреждений культуры, находящихся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в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удовлетворительном состоянии (процентов)</w:t>
            </w:r>
          </w:p>
        </w:tc>
        <w:tc>
          <w:tcPr>
            <w:tcW w:type="dxa" w:w="1100"/>
          </w:tcPr>
          <w:p w14:paraId="D8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50</w:t>
            </w:r>
          </w:p>
        </w:tc>
        <w:tc>
          <w:tcPr>
            <w:tcW w:type="dxa" w:w="1155"/>
          </w:tcPr>
          <w:p w14:paraId="D9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50</w:t>
            </w:r>
          </w:p>
        </w:tc>
        <w:tc>
          <w:tcPr>
            <w:tcW w:type="dxa" w:w="1155"/>
          </w:tcPr>
          <w:p w14:paraId="DA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50</w:t>
            </w:r>
          </w:p>
        </w:tc>
      </w:tr>
      <w:tr>
        <w:tc>
          <w:tcPr>
            <w:tcW w:type="dxa" w:w="480"/>
          </w:tcPr>
          <w:p w14:paraId="DB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5664"/>
          </w:tcPr>
          <w:p w14:paraId="DC090000">
            <w:pPr>
              <w:widowControl w:val="0"/>
              <w:spacing w:after="0" w:line="228" w:lineRule="auto"/>
              <w:ind w:firstLine="0" w:left="0"/>
              <w:contextualSpacing w:val="1"/>
              <w:jc w:val="left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Доля граждан, вовлеченных в творческую и культурно - просветительскую деятельность (или занимающихся ею), в организациях культуры, расположенных на территориях сельских населенных пунктов (процентов)</w:t>
            </w:r>
          </w:p>
        </w:tc>
        <w:tc>
          <w:tcPr>
            <w:tcW w:type="dxa" w:w="1100"/>
          </w:tcPr>
          <w:p w14:paraId="DD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4,5</w:t>
            </w:r>
          </w:p>
        </w:tc>
        <w:tc>
          <w:tcPr>
            <w:tcW w:type="dxa" w:w="1155"/>
          </w:tcPr>
          <w:p w14:paraId="DE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5,0</w:t>
            </w:r>
          </w:p>
        </w:tc>
        <w:tc>
          <w:tcPr>
            <w:tcW w:type="dxa" w:w="1155"/>
          </w:tcPr>
          <w:p w14:paraId="DF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8,3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E0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4.2.3. Молодежная политика</w:t>
            </w:r>
          </w:p>
        </w:tc>
      </w:tr>
      <w:tr>
        <w:tc>
          <w:tcPr>
            <w:tcW w:type="dxa" w:w="480"/>
          </w:tcPr>
          <w:p w14:paraId="E1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E209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молодых людей, участвующих в проектах и программах, направленных на патриотическое воспитание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8"/>
              </w:rPr>
              <w:t>проценты</w:t>
            </w:r>
          </w:p>
          <w:p w14:paraId="E309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1"/>
                <w:i w:val="1"/>
                <w:color w:val="000000"/>
                <w:sz w:val="28"/>
              </w:rPr>
            </w:pPr>
          </w:p>
        </w:tc>
        <w:tc>
          <w:tcPr>
            <w:tcW w:type="dxa" w:w="1100"/>
          </w:tcPr>
          <w:p w14:paraId="E409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0,16</w:t>
            </w:r>
          </w:p>
        </w:tc>
        <w:tc>
          <w:tcPr>
            <w:tcW w:type="dxa" w:w="1155"/>
          </w:tcPr>
          <w:p w14:paraId="E5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0,18</w:t>
            </w:r>
          </w:p>
        </w:tc>
        <w:tc>
          <w:tcPr>
            <w:tcW w:type="dxa" w:w="1155"/>
          </w:tcPr>
          <w:p w14:paraId="E609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0,27</w:t>
            </w:r>
          </w:p>
        </w:tc>
      </w:tr>
      <w:tr>
        <w:tc>
          <w:tcPr>
            <w:tcW w:type="dxa" w:w="480"/>
          </w:tcPr>
          <w:p w14:paraId="E7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E809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1"/>
                <w:i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Охват молодежи мероприятиями, проводимыми на базе инфраструктуры молодежной политики, 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8"/>
              </w:rPr>
              <w:t>проценты</w:t>
            </w:r>
          </w:p>
        </w:tc>
        <w:tc>
          <w:tcPr>
            <w:tcW w:type="dxa" w:w="1100"/>
          </w:tcPr>
          <w:p w14:paraId="E9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0,07</w:t>
            </w:r>
          </w:p>
        </w:tc>
        <w:tc>
          <w:tcPr>
            <w:tcW w:type="dxa" w:w="1155"/>
          </w:tcPr>
          <w:p w14:paraId="EA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0,07</w:t>
            </w:r>
          </w:p>
        </w:tc>
        <w:tc>
          <w:tcPr>
            <w:tcW w:type="dxa" w:w="1155"/>
          </w:tcPr>
          <w:p w14:paraId="EB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0,07</w:t>
            </w:r>
          </w:p>
        </w:tc>
      </w:tr>
      <w:tr>
        <w:tc>
          <w:tcPr>
            <w:tcW w:type="dxa" w:w="480"/>
          </w:tcPr>
          <w:p w14:paraId="EC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664"/>
          </w:tcPr>
          <w:p w14:paraId="ED09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1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молодых людей, вовлеченных в мероприятия, направленные на профессиональное развитие</w:t>
            </w:r>
            <w:r>
              <w:rPr>
                <w:rFonts w:ascii="Times New Roman" w:hAnsi="Times New Roman"/>
                <w:b w:val="1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b w:val="1"/>
                <w:i w:val="1"/>
                <w:color w:val="000000"/>
                <w:sz w:val="28"/>
              </w:rPr>
              <w:t>проценты</w:t>
            </w:r>
          </w:p>
        </w:tc>
        <w:tc>
          <w:tcPr>
            <w:tcW w:type="dxa" w:w="1100"/>
          </w:tcPr>
          <w:p w14:paraId="EE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0,11</w:t>
            </w:r>
          </w:p>
        </w:tc>
        <w:tc>
          <w:tcPr>
            <w:tcW w:type="dxa" w:w="1155"/>
          </w:tcPr>
          <w:p w14:paraId="EF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0,14</w:t>
            </w:r>
          </w:p>
        </w:tc>
        <w:tc>
          <w:tcPr>
            <w:tcW w:type="dxa" w:w="1155"/>
          </w:tcPr>
          <w:p w14:paraId="F0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0,24</w:t>
            </w:r>
          </w:p>
        </w:tc>
      </w:tr>
      <w:tr>
        <w:tc>
          <w:tcPr>
            <w:tcW w:type="dxa" w:w="480"/>
          </w:tcPr>
          <w:p w14:paraId="F1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5664"/>
          </w:tcPr>
          <w:p w14:paraId="F2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Доля молодых семей, в том числе молодых семей, имеющих детей, участвующих в мероприятиях 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по продвижению традиционных духовно-нравственных ценностей, в том числе в проекты 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и программы, направленные на </w:t>
            </w:r>
            <w:r>
              <w:rPr>
                <w:rFonts w:ascii="Times New Roman" w:hAnsi="Times New Roman"/>
                <w:color w:val="000000"/>
                <w:sz w:val="28"/>
              </w:rPr>
              <w:t>патриотическое воспитание, в добровольческую и общественную деятельность (процентов)</w:t>
            </w:r>
          </w:p>
        </w:tc>
        <w:tc>
          <w:tcPr>
            <w:tcW w:type="dxa" w:w="1100"/>
          </w:tcPr>
          <w:p w14:paraId="F3090000">
            <w:pPr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0,01</w:t>
            </w:r>
          </w:p>
        </w:tc>
        <w:tc>
          <w:tcPr>
            <w:tcW w:type="dxa" w:w="1155"/>
          </w:tcPr>
          <w:p w14:paraId="F4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0,01</w:t>
            </w:r>
          </w:p>
        </w:tc>
        <w:tc>
          <w:tcPr>
            <w:tcW w:type="dxa" w:w="1155"/>
          </w:tcPr>
          <w:p w14:paraId="F5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0,01</w:t>
            </w:r>
          </w:p>
        </w:tc>
      </w:tr>
      <w:tr>
        <w:tc>
          <w:tcPr>
            <w:tcW w:type="dxa" w:w="480"/>
          </w:tcPr>
          <w:p w14:paraId="F6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5664"/>
          </w:tcPr>
          <w:p w14:paraId="F7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Доля молодых людей, вовлеченных </w:t>
            </w:r>
            <w:r>
              <w:rPr>
                <w:rFonts w:ascii="Times New Roman" w:hAnsi="Times New Roman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в добровольческую и общественную деятельность (процентов)</w:t>
            </w:r>
          </w:p>
        </w:tc>
        <w:tc>
          <w:tcPr>
            <w:tcW w:type="dxa" w:w="1100"/>
          </w:tcPr>
          <w:p w14:paraId="F8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0,07</w:t>
            </w:r>
          </w:p>
        </w:tc>
        <w:tc>
          <w:tcPr>
            <w:tcW w:type="dxa" w:w="1155"/>
          </w:tcPr>
          <w:p w14:paraId="F9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0,08</w:t>
            </w:r>
          </w:p>
        </w:tc>
        <w:tc>
          <w:tcPr>
            <w:tcW w:type="dxa" w:w="1155"/>
          </w:tcPr>
          <w:p w14:paraId="FA090000">
            <w:pPr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0,12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FB09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4.2.4. </w:t>
            </w:r>
            <w:r>
              <w:rPr>
                <w:rFonts w:ascii="Times New Roman" w:hAnsi="Times New Roman"/>
                <w:color w:val="000000"/>
                <w:sz w:val="28"/>
              </w:rPr>
              <w:t>Государственная национальная политика</w:t>
            </w:r>
          </w:p>
        </w:tc>
      </w:tr>
      <w:tr>
        <w:tc>
          <w:tcPr>
            <w:tcW w:type="dxa" w:w="480"/>
          </w:tcPr>
          <w:p w14:paraId="FC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FD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граждан, положительно оценивающих уровень межэтнического согласия в Ростовской области (процентов)</w:t>
            </w:r>
          </w:p>
        </w:tc>
        <w:tc>
          <w:tcPr>
            <w:tcW w:type="dxa" w:w="1100"/>
          </w:tcPr>
          <w:p w14:paraId="FE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78,3</w:t>
            </w:r>
          </w:p>
        </w:tc>
        <w:tc>
          <w:tcPr>
            <w:tcW w:type="dxa" w:w="1155"/>
          </w:tcPr>
          <w:p w14:paraId="FF09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78,4</w:t>
            </w:r>
          </w:p>
        </w:tc>
        <w:tc>
          <w:tcPr>
            <w:tcW w:type="dxa" w:w="1155"/>
          </w:tcPr>
          <w:p w14:paraId="00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78,8</w:t>
            </w:r>
          </w:p>
        </w:tc>
      </w:tr>
      <w:tr>
        <w:tc>
          <w:tcPr>
            <w:tcW w:type="dxa" w:w="480"/>
          </w:tcPr>
          <w:p w14:paraId="01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02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граждан, у которых сформирована общероссийская гражданская идентичность (процентов)</w:t>
            </w:r>
          </w:p>
        </w:tc>
        <w:tc>
          <w:tcPr>
            <w:tcW w:type="dxa" w:w="1100"/>
          </w:tcPr>
          <w:p w14:paraId="03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82,1</w:t>
            </w:r>
          </w:p>
        </w:tc>
        <w:tc>
          <w:tcPr>
            <w:tcW w:type="dxa" w:w="1155"/>
          </w:tcPr>
          <w:p w14:paraId="04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92,1</w:t>
            </w:r>
          </w:p>
        </w:tc>
        <w:tc>
          <w:tcPr>
            <w:tcW w:type="dxa" w:w="1155"/>
          </w:tcPr>
          <w:p w14:paraId="05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93,2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06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4.2.5. Казачество</w:t>
            </w:r>
          </w:p>
        </w:tc>
      </w:tr>
      <w:tr>
        <w:tc>
          <w:tcPr>
            <w:tcW w:type="dxa" w:w="480"/>
          </w:tcPr>
          <w:p w14:paraId="07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080A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Численность членов казачьих обществ, привлеченных к несению государственной или иной службы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человек</w:t>
            </w:r>
          </w:p>
        </w:tc>
        <w:tc>
          <w:tcPr>
            <w:tcW w:type="dxa" w:w="1100"/>
          </w:tcPr>
          <w:p w14:paraId="09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type="dxa" w:w="1155"/>
          </w:tcPr>
          <w:p w14:paraId="0A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  <w:tc>
          <w:tcPr>
            <w:tcW w:type="dxa" w:w="1155"/>
          </w:tcPr>
          <w:p w14:paraId="0B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</w:t>
            </w:r>
          </w:p>
        </w:tc>
      </w:tr>
      <w:tr>
        <w:tc>
          <w:tcPr>
            <w:tcW w:type="dxa" w:w="480"/>
          </w:tcPr>
          <w:p w14:paraId="0C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0D0A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Количество договоров (соглашений) по оказанию членами казачьего общества содействия органам публичной власти в осуществлении установленных задач и функций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, единиц</w:t>
            </w:r>
          </w:p>
        </w:tc>
        <w:tc>
          <w:tcPr>
            <w:tcW w:type="dxa" w:w="1100"/>
          </w:tcPr>
          <w:p w14:paraId="0E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1155"/>
          </w:tcPr>
          <w:p w14:paraId="0F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1155"/>
          </w:tcPr>
          <w:p w14:paraId="10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</w:tr>
      <w:tr>
        <w:trPr>
          <w:trHeight w:hRule="atLeast" w:val="1280"/>
        </w:trPr>
        <w:tc>
          <w:tcPr>
            <w:tcW w:type="dxa" w:w="480"/>
          </w:tcPr>
          <w:p w14:paraId="11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664"/>
          </w:tcPr>
          <w:p w14:paraId="120A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Количество образовательных организаций, осуществляющих деятельность на территории Ростовской области и реализующих образовательные программы с использованием исторических и традиционных ценностей российского казачества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olor w:val="000000"/>
                <w:sz w:val="28"/>
              </w:rPr>
              <w:t>единиц</w:t>
            </w:r>
          </w:p>
        </w:tc>
        <w:tc>
          <w:tcPr>
            <w:tcW w:type="dxa" w:w="1100"/>
          </w:tcPr>
          <w:p w14:paraId="13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type="dxa" w:w="1155"/>
          </w:tcPr>
          <w:p w14:paraId="14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  <w:tc>
          <w:tcPr>
            <w:tcW w:type="dxa" w:w="1155"/>
          </w:tcPr>
          <w:p w14:paraId="15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160A0000">
            <w:pPr>
              <w:widowControl w:val="0"/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4.3. Комфортная и безопасная среда для жизни в Обливском районе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170A0000">
            <w:pPr>
              <w:widowControl w:val="0"/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4.3.1. Строительный комплекс</w:t>
            </w:r>
          </w:p>
        </w:tc>
      </w:tr>
      <w:tr>
        <w:tc>
          <w:tcPr>
            <w:tcW w:type="dxa" w:w="480"/>
          </w:tcPr>
          <w:p w14:paraId="18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190A0000">
            <w:pPr>
              <w:widowControl w:val="0"/>
              <w:spacing w:after="0" w:before="0" w:line="252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Ввод в действие жилых домов (млн кв. метров)</w:t>
            </w:r>
          </w:p>
        </w:tc>
        <w:tc>
          <w:tcPr>
            <w:tcW w:type="dxa" w:w="1100"/>
          </w:tcPr>
          <w:p w14:paraId="1A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0,002</w:t>
            </w:r>
          </w:p>
        </w:tc>
        <w:tc>
          <w:tcPr>
            <w:tcW w:type="dxa" w:w="1155"/>
          </w:tcPr>
          <w:p w14:paraId="1B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0,002</w:t>
            </w:r>
          </w:p>
        </w:tc>
        <w:tc>
          <w:tcPr>
            <w:tcW w:type="dxa" w:w="1155"/>
          </w:tcPr>
          <w:p w14:paraId="1C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0,003</w:t>
            </w:r>
          </w:p>
        </w:tc>
      </w:tr>
      <w:tr>
        <w:tc>
          <w:tcPr>
            <w:tcW w:type="dxa" w:w="480"/>
          </w:tcPr>
          <w:p w14:paraId="1D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1E0A0000">
            <w:pPr>
              <w:ind/>
              <w:jc w:val="left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>Качество среды для жизни в опорных населенных пунктах (%)</w:t>
            </w:r>
          </w:p>
        </w:tc>
        <w:tc>
          <w:tcPr>
            <w:tcW w:type="dxa" w:w="1100"/>
          </w:tcPr>
          <w:p w14:paraId="1F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20,3</w:t>
            </w:r>
          </w:p>
        </w:tc>
        <w:tc>
          <w:tcPr>
            <w:tcW w:type="dxa" w:w="1155"/>
          </w:tcPr>
          <w:p w14:paraId="20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30,7</w:t>
            </w:r>
          </w:p>
        </w:tc>
        <w:tc>
          <w:tcPr>
            <w:tcW w:type="dxa" w:w="1155"/>
          </w:tcPr>
          <w:p w14:paraId="21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43,2</w:t>
            </w:r>
          </w:p>
        </w:tc>
      </w:tr>
      <w:tr>
        <w:tc>
          <w:tcPr>
            <w:tcW w:type="dxa" w:w="480"/>
          </w:tcPr>
          <w:p w14:paraId="22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5664"/>
          </w:tcPr>
          <w:p w14:paraId="230A0000">
            <w:pPr>
              <w:widowControl w:val="0"/>
              <w:spacing w:after="0" w:before="0" w:line="252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Общая площадь жилых помещений, приходящаяся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в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среднем на одного жителя (квадратных метров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на человека)</w:t>
            </w:r>
          </w:p>
        </w:tc>
        <w:tc>
          <w:tcPr>
            <w:tcW w:type="dxa" w:w="1100"/>
          </w:tcPr>
          <w:p w14:paraId="24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27,3</w:t>
            </w:r>
          </w:p>
        </w:tc>
        <w:tc>
          <w:tcPr>
            <w:tcW w:type="dxa" w:w="1155"/>
          </w:tcPr>
          <w:p w14:paraId="25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27,6</w:t>
            </w:r>
          </w:p>
        </w:tc>
        <w:tc>
          <w:tcPr>
            <w:tcW w:type="dxa" w:w="1155"/>
          </w:tcPr>
          <w:p w14:paraId="26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28,2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270A0000">
            <w:pPr>
              <w:widowControl w:val="0"/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4.3.2. Жилищно-коммунальное хозяйство</w:t>
            </w:r>
          </w:p>
        </w:tc>
      </w:tr>
      <w:tr>
        <w:tc>
          <w:tcPr>
            <w:tcW w:type="dxa" w:w="480"/>
          </w:tcPr>
          <w:p w14:paraId="28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29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Численность населения, для которого улучшится качество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предоставления коммунальных услуг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в сфере тепло-, водоснабжения и водоотведения (млн человек)</w:t>
            </w:r>
          </w:p>
        </w:tc>
        <w:tc>
          <w:tcPr>
            <w:tcW w:type="dxa" w:w="1100"/>
          </w:tcPr>
          <w:p w14:paraId="2A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0,01</w:t>
            </w:r>
          </w:p>
        </w:tc>
        <w:tc>
          <w:tcPr>
            <w:tcW w:type="dxa" w:w="1155"/>
          </w:tcPr>
          <w:p w14:paraId="2B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0,01</w:t>
            </w:r>
          </w:p>
        </w:tc>
        <w:tc>
          <w:tcPr>
            <w:tcW w:type="dxa" w:w="1155"/>
          </w:tcPr>
          <w:p w14:paraId="2C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0,01</w:t>
            </w:r>
          </w:p>
        </w:tc>
      </w:tr>
      <w:tr>
        <w:tc>
          <w:tcPr>
            <w:tcW w:type="dxa" w:w="480"/>
          </w:tcPr>
          <w:p w14:paraId="2D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2E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населения, обеспеченного питьевой водой, отвечающей требованиям безопасности, в общей численности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населения области (процентов)</w:t>
            </w:r>
          </w:p>
        </w:tc>
        <w:tc>
          <w:tcPr>
            <w:tcW w:type="dxa" w:w="1100"/>
          </w:tcPr>
          <w:p w14:paraId="2F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79,42</w:t>
            </w:r>
          </w:p>
        </w:tc>
        <w:tc>
          <w:tcPr>
            <w:tcW w:type="dxa" w:w="1155"/>
          </w:tcPr>
          <w:p w14:paraId="30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79,42</w:t>
            </w:r>
          </w:p>
        </w:tc>
        <w:tc>
          <w:tcPr>
            <w:tcW w:type="dxa" w:w="1155"/>
          </w:tcPr>
          <w:p w14:paraId="310A0000">
            <w:pPr>
              <w:widowControl w:val="0"/>
              <w:tabs>
                <w:tab w:leader="none" w:pos="426" w:val="left"/>
              </w:tabs>
              <w:spacing w:after="0" w:before="0" w:line="252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79,42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32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4.3.3. Транспорт и логистика</w:t>
            </w:r>
          </w:p>
        </w:tc>
      </w:tr>
      <w:tr>
        <w:tc>
          <w:tcPr>
            <w:tcW w:type="dxa" w:w="480"/>
          </w:tcPr>
          <w:p w14:paraId="33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340A0000">
            <w:pPr>
              <w:spacing w:after="0" w:before="0" w:line="240" w:lineRule="auto"/>
              <w:ind w:firstLine="0" w:left="0" w:right="0"/>
              <w:jc w:val="left"/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  <w:highlight w:val="whit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color w:val="000000"/>
                <w:spacing w:val="0"/>
                <w:sz w:val="28"/>
                <w:highlight w:val="white"/>
              </w:rPr>
              <w:t>Доля протяженности автодорог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 (процентов)</w:t>
            </w:r>
          </w:p>
        </w:tc>
        <w:tc>
          <w:tcPr>
            <w:tcW w:type="dxa" w:w="1100"/>
          </w:tcPr>
          <w:p w14:paraId="35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type="dxa" w:w="1155"/>
          </w:tcPr>
          <w:p w14:paraId="36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  <w:tc>
          <w:tcPr>
            <w:tcW w:type="dxa" w:w="1155"/>
          </w:tcPr>
          <w:p w14:paraId="37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25</w:t>
            </w:r>
          </w:p>
        </w:tc>
      </w:tr>
      <w:tr>
        <w:tc>
          <w:tcPr>
            <w:tcW w:type="dxa" w:w="9554"/>
            <w:gridSpan w:val="5"/>
          </w:tcPr>
          <w:p w14:paraId="380A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4.3.4. Инженерно-энергетическая инфраструктура</w:t>
            </w:r>
          </w:p>
        </w:tc>
      </w:tr>
      <w:tr>
        <w:tc>
          <w:tcPr>
            <w:tcW w:type="dxa" w:w="480"/>
          </w:tcPr>
          <w:p w14:paraId="39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3A0A0000">
            <w:pPr>
              <w:widowControl w:val="0"/>
              <w:spacing w:after="0" w:line="264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фактической газификации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Обливского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района </w:t>
            </w:r>
            <w:r>
              <w:rPr>
                <w:rFonts w:ascii="Times New Roman" w:hAnsi="Times New Roman"/>
                <w:color w:val="000000"/>
                <w:sz w:val="28"/>
              </w:rPr>
              <w:t>(</w:t>
            </w:r>
            <w:r>
              <w:rPr>
                <w:rFonts w:ascii="Times New Roman" w:hAnsi="Times New Roman"/>
                <w:color w:val="000000"/>
                <w:sz w:val="28"/>
              </w:rPr>
              <w:t>процентов</w:t>
            </w:r>
            <w:r>
              <w:rPr>
                <w:rFonts w:ascii="Times New Roman" w:hAnsi="Times New Roman"/>
                <w:color w:val="000000"/>
                <w:sz w:val="28"/>
              </w:rPr>
              <w:t>)</w:t>
            </w:r>
          </w:p>
        </w:tc>
        <w:tc>
          <w:tcPr>
            <w:tcW w:type="dxa" w:w="1100"/>
          </w:tcPr>
          <w:p w14:paraId="3B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52,6</w:t>
            </w:r>
          </w:p>
        </w:tc>
        <w:tc>
          <w:tcPr>
            <w:tcW w:type="dxa" w:w="1155"/>
          </w:tcPr>
          <w:p w14:paraId="3C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52,6</w:t>
            </w:r>
          </w:p>
        </w:tc>
        <w:tc>
          <w:tcPr>
            <w:tcW w:type="dxa" w:w="1155"/>
          </w:tcPr>
          <w:p w14:paraId="3D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 w:firstLine="0" w:left="0" w:right="0"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55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3E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4.4. Экологическое благополучие в Обливском районе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3F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4.4.1. Экология</w:t>
            </w:r>
          </w:p>
        </w:tc>
      </w:tr>
      <w:tr>
        <w:tc>
          <w:tcPr>
            <w:tcW w:type="dxa" w:w="480"/>
          </w:tcPr>
          <w:p w14:paraId="40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41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ликвидированных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свалочных очагов по </w:t>
            </w:r>
          </w:p>
          <w:p w14:paraId="420A0000">
            <w:pPr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отношению к выявленным </w:t>
            </w:r>
            <w:r>
              <w:rPr>
                <w:rFonts w:ascii="Times New Roman" w:hAnsi="Times New Roman"/>
                <w:color w:val="000000"/>
                <w:sz w:val="28"/>
              </w:rPr>
              <w:t>случаям(процентов)</w:t>
            </w:r>
          </w:p>
          <w:p w14:paraId="43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100"/>
          </w:tcPr>
          <w:p w14:paraId="44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80,0</w:t>
            </w:r>
          </w:p>
        </w:tc>
        <w:tc>
          <w:tcPr>
            <w:tcW w:type="dxa" w:w="1155"/>
          </w:tcPr>
          <w:p w14:paraId="45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80,0</w:t>
            </w:r>
          </w:p>
        </w:tc>
        <w:tc>
          <w:tcPr>
            <w:tcW w:type="dxa" w:w="1155"/>
          </w:tcPr>
          <w:p w14:paraId="46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100,0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47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4.4.2. Безопасность общества</w:t>
            </w:r>
          </w:p>
        </w:tc>
      </w:tr>
      <w:tr>
        <w:tc>
          <w:tcPr>
            <w:tcW w:type="dxa" w:w="480"/>
          </w:tcPr>
          <w:p w14:paraId="48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49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Темп снижения количества зарегистрированных преступлений к 2024 году (процентов)</w:t>
            </w:r>
          </w:p>
        </w:tc>
        <w:tc>
          <w:tcPr>
            <w:tcW w:type="dxa" w:w="1100"/>
          </w:tcPr>
          <w:p w14:paraId="4A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99,5</w:t>
            </w:r>
          </w:p>
        </w:tc>
        <w:tc>
          <w:tcPr>
            <w:tcW w:type="dxa" w:w="1155"/>
          </w:tcPr>
          <w:p w14:paraId="4B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95,5</w:t>
            </w:r>
          </w:p>
        </w:tc>
        <w:tc>
          <w:tcPr>
            <w:tcW w:type="dxa" w:w="1155"/>
          </w:tcPr>
          <w:p w14:paraId="4C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95,0</w:t>
            </w:r>
          </w:p>
        </w:tc>
      </w:tr>
      <w:tr>
        <w:tc>
          <w:tcPr>
            <w:tcW w:type="dxa" w:w="480"/>
          </w:tcPr>
          <w:p w14:paraId="4D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4E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Темп роста количества подготовленных специалистов в области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гражданской обороны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и защиты населения от чрезвычайных ситуаций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к 2024 году (процентов)</w:t>
            </w:r>
          </w:p>
        </w:tc>
        <w:tc>
          <w:tcPr>
            <w:tcW w:type="dxa" w:w="1100"/>
          </w:tcPr>
          <w:p w14:paraId="4F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105,0</w:t>
            </w:r>
          </w:p>
        </w:tc>
        <w:tc>
          <w:tcPr>
            <w:tcW w:type="dxa" w:w="1155"/>
          </w:tcPr>
          <w:p w14:paraId="50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106,0</w:t>
            </w:r>
          </w:p>
        </w:tc>
        <w:tc>
          <w:tcPr>
            <w:tcW w:type="dxa" w:w="1155"/>
          </w:tcPr>
          <w:p w14:paraId="51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110,0</w:t>
            </w:r>
          </w:p>
        </w:tc>
      </w:tr>
      <w:tr>
        <w:tc>
          <w:tcPr>
            <w:tcW w:type="dxa" w:w="480"/>
          </w:tcPr>
          <w:p w14:paraId="52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664"/>
          </w:tcPr>
          <w:p w14:paraId="53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Модернизация региональной системы оповещения (процентов от оповещаемого населения действующей региональной системой оповещения)</w:t>
            </w:r>
          </w:p>
        </w:tc>
        <w:tc>
          <w:tcPr>
            <w:tcW w:type="dxa" w:w="1100"/>
          </w:tcPr>
          <w:p w14:paraId="54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70,0</w:t>
            </w:r>
          </w:p>
        </w:tc>
        <w:tc>
          <w:tcPr>
            <w:tcW w:type="dxa" w:w="1155"/>
          </w:tcPr>
          <w:p w14:paraId="55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70,0</w:t>
            </w:r>
          </w:p>
        </w:tc>
        <w:tc>
          <w:tcPr>
            <w:tcW w:type="dxa" w:w="1155"/>
          </w:tcPr>
          <w:p w14:paraId="56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70,0</w:t>
            </w:r>
          </w:p>
        </w:tc>
      </w:tr>
      <w:tr>
        <w:tc>
          <w:tcPr>
            <w:tcW w:type="dxa" w:w="480"/>
          </w:tcPr>
          <w:p w14:paraId="57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</w:t>
            </w:r>
          </w:p>
        </w:tc>
        <w:tc>
          <w:tcPr>
            <w:tcW w:type="dxa" w:w="5664"/>
          </w:tcPr>
          <w:p w14:paraId="58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Повышение уровня пожарной безопасности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и обеспечение населения противопожарным прикрытием в соответствии с </w:t>
            </w:r>
            <w:r>
              <w:rPr>
                <w:rFonts w:ascii="Times New Roman" w:hAnsi="Times New Roman"/>
                <w:color w:val="000000"/>
                <w:sz w:val="28"/>
              </w:rPr>
              <w:t>установленными временными нормативами прибытия первого подразделения пожарной охраны к месту вызова (процентов от количества населения Обливского района)</w:t>
            </w:r>
          </w:p>
        </w:tc>
        <w:tc>
          <w:tcPr>
            <w:tcW w:type="dxa" w:w="1100"/>
          </w:tcPr>
          <w:p w14:paraId="59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97,2</w:t>
            </w:r>
          </w:p>
        </w:tc>
        <w:tc>
          <w:tcPr>
            <w:tcW w:type="dxa" w:w="1155"/>
          </w:tcPr>
          <w:p w14:paraId="5A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97,2</w:t>
            </w:r>
          </w:p>
        </w:tc>
        <w:tc>
          <w:tcPr>
            <w:tcW w:type="dxa" w:w="1155"/>
          </w:tcPr>
          <w:p w14:paraId="5B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100,0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5C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4.5. Устойчивая и динамичная экономика в Обливском районе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5D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4.5.1. Малый и средний бизнес</w:t>
            </w:r>
          </w:p>
        </w:tc>
      </w:tr>
      <w:tr>
        <w:tc>
          <w:tcPr>
            <w:tcW w:type="dxa" w:w="480"/>
          </w:tcPr>
          <w:p w14:paraId="5E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5F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Доля субъектов МСП, превысивших предельные значения для определения категорий субъектов МСП (микро-, малые, </w:t>
            </w:r>
            <w:r>
              <w:rPr>
                <w:rFonts w:ascii="Times New Roman" w:hAnsi="Times New Roman"/>
                <w:color w:val="000000"/>
                <w:sz w:val="28"/>
              </w:rPr>
              <w:t>средние) (процентов)</w:t>
            </w:r>
          </w:p>
        </w:tc>
        <w:tc>
          <w:tcPr>
            <w:tcW w:type="dxa" w:w="1100"/>
          </w:tcPr>
          <w:p w14:paraId="60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0,55</w:t>
            </w:r>
          </w:p>
        </w:tc>
        <w:tc>
          <w:tcPr>
            <w:tcW w:type="dxa" w:w="1155"/>
          </w:tcPr>
          <w:p w14:paraId="61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0,60</w:t>
            </w:r>
          </w:p>
        </w:tc>
        <w:tc>
          <w:tcPr>
            <w:tcW w:type="dxa" w:w="1155"/>
          </w:tcPr>
          <w:p w14:paraId="62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0,80</w:t>
            </w:r>
          </w:p>
        </w:tc>
      </w:tr>
      <w:tr>
        <w:tc>
          <w:tcPr>
            <w:tcW w:type="dxa" w:w="480"/>
          </w:tcPr>
          <w:p w14:paraId="63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640A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>Темп роста дохода на одного работника</w:t>
            </w:r>
          </w:p>
          <w:p w14:paraId="650A0000">
            <w:pPr>
              <w:spacing w:after="0" w:line="192" w:lineRule="auto"/>
              <w:ind/>
              <w:contextualSpacing w:val="1"/>
              <w:jc w:val="left"/>
              <w:rPr>
                <w:rFonts w:ascii="Times New Roman" w:hAnsi="Times New Roman"/>
                <w:b w:val="0"/>
                <w:sz w:val="28"/>
              </w:rPr>
            </w:pPr>
            <w:r>
              <w:rPr>
                <w:rFonts w:ascii="Times New Roman" w:hAnsi="Times New Roman"/>
                <w:b w:val="0"/>
                <w:sz w:val="28"/>
              </w:rPr>
              <w:t xml:space="preserve"> субъекта малого и среднего предпринимательства к 2024 году, процентов</w:t>
            </w:r>
          </w:p>
        </w:tc>
        <w:tc>
          <w:tcPr>
            <w:tcW w:type="dxa" w:w="1100"/>
          </w:tcPr>
          <w:p w14:paraId="66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107,9</w:t>
            </w:r>
          </w:p>
        </w:tc>
        <w:tc>
          <w:tcPr>
            <w:tcW w:type="dxa" w:w="1155"/>
          </w:tcPr>
          <w:p w14:paraId="67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111,3</w:t>
            </w:r>
          </w:p>
        </w:tc>
        <w:tc>
          <w:tcPr>
            <w:tcW w:type="dxa" w:w="1155"/>
          </w:tcPr>
          <w:p w14:paraId="68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128,1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69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4.5.2. Инвестиции</w:t>
            </w:r>
          </w:p>
        </w:tc>
      </w:tr>
      <w:tr>
        <w:tc>
          <w:tcPr>
            <w:tcW w:type="dxa" w:w="480"/>
          </w:tcPr>
          <w:p w14:paraId="6A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6B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b w:val="0"/>
                <w:i w:val="1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Объем инвестиций в основной капитал (в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текущих ценах),</w:t>
            </w:r>
            <w:r>
              <w:rPr>
                <w:rFonts w:ascii="Times New Roman" w:hAnsi="Times New Roman"/>
                <w:b w:val="0"/>
                <w:i w:val="1"/>
                <w:color w:val="000000"/>
                <w:sz w:val="28"/>
              </w:rPr>
              <w:t xml:space="preserve"> (млрд рублей)</w:t>
            </w:r>
          </w:p>
        </w:tc>
        <w:tc>
          <w:tcPr>
            <w:tcW w:type="dxa" w:w="1100"/>
          </w:tcPr>
          <w:p w14:paraId="6C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0,63</w:t>
            </w:r>
          </w:p>
        </w:tc>
        <w:tc>
          <w:tcPr>
            <w:tcW w:type="dxa" w:w="1155"/>
          </w:tcPr>
          <w:p w14:paraId="6D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0,72</w:t>
            </w:r>
          </w:p>
        </w:tc>
        <w:tc>
          <w:tcPr>
            <w:tcW w:type="dxa" w:w="1155"/>
          </w:tcPr>
          <w:p w14:paraId="6E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1,1</w:t>
            </w:r>
          </w:p>
        </w:tc>
      </w:tr>
      <w:tr>
        <w:tc>
          <w:tcPr>
            <w:tcW w:type="dxa" w:w="480"/>
          </w:tcPr>
          <w:p w14:paraId="6F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70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Объем инвестиций в основной капитал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(за исключением бюджетных средств) (млрд рублей)</w:t>
            </w:r>
          </w:p>
        </w:tc>
        <w:tc>
          <w:tcPr>
            <w:tcW w:type="dxa" w:w="1100"/>
          </w:tcPr>
          <w:p w14:paraId="71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0,55</w:t>
            </w:r>
          </w:p>
        </w:tc>
        <w:tc>
          <w:tcPr>
            <w:tcW w:type="dxa" w:w="1155"/>
          </w:tcPr>
          <w:p w14:paraId="72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0,35</w:t>
            </w:r>
          </w:p>
        </w:tc>
        <w:tc>
          <w:tcPr>
            <w:tcW w:type="dxa" w:w="1155"/>
          </w:tcPr>
          <w:p w14:paraId="73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0,6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740A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4.5.3. Туризм</w:t>
            </w:r>
          </w:p>
        </w:tc>
      </w:tr>
      <w:tr>
        <w:tc>
          <w:tcPr>
            <w:tcW w:type="dxa" w:w="480"/>
          </w:tcPr>
          <w:p w14:paraId="75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76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Численность лиц, размещенных в коллективных средствах размещения (тыс. человек)</w:t>
            </w:r>
          </w:p>
        </w:tc>
        <w:tc>
          <w:tcPr>
            <w:tcW w:type="dxa" w:w="1100"/>
          </w:tcPr>
          <w:p w14:paraId="77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2,1</w:t>
            </w:r>
          </w:p>
        </w:tc>
        <w:tc>
          <w:tcPr>
            <w:tcW w:type="dxa" w:w="1155"/>
          </w:tcPr>
          <w:p w14:paraId="78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3,1</w:t>
            </w:r>
          </w:p>
        </w:tc>
        <w:tc>
          <w:tcPr>
            <w:tcW w:type="dxa" w:w="1155"/>
          </w:tcPr>
          <w:p w14:paraId="79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8,8</w:t>
            </w:r>
          </w:p>
        </w:tc>
      </w:tr>
      <w:tr>
        <w:tc>
          <w:tcPr>
            <w:tcW w:type="dxa" w:w="480"/>
          </w:tcPr>
          <w:p w14:paraId="7A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</w:t>
            </w:r>
          </w:p>
        </w:tc>
        <w:tc>
          <w:tcPr>
            <w:tcW w:type="dxa" w:w="5664"/>
          </w:tcPr>
          <w:p w14:paraId="7B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Число ночевок в коллективных средствах размещения (млн ед.)</w:t>
            </w:r>
          </w:p>
        </w:tc>
        <w:tc>
          <w:tcPr>
            <w:tcW w:type="dxa" w:w="1100"/>
          </w:tcPr>
          <w:p w14:paraId="7C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0,001</w:t>
            </w:r>
          </w:p>
        </w:tc>
        <w:tc>
          <w:tcPr>
            <w:tcW w:type="dxa" w:w="1155"/>
          </w:tcPr>
          <w:p w14:paraId="7D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0,001</w:t>
            </w:r>
          </w:p>
        </w:tc>
        <w:tc>
          <w:tcPr>
            <w:tcW w:type="dxa" w:w="1155"/>
          </w:tcPr>
          <w:p w14:paraId="7E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0,001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7F0A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4.5.4. Креативные индустрии</w:t>
            </w:r>
          </w:p>
        </w:tc>
      </w:tr>
      <w:tr>
        <w:tc>
          <w:tcPr>
            <w:tcW w:type="dxa" w:w="480"/>
          </w:tcPr>
          <w:p w14:paraId="80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81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креативных (творческих)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индустрий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в ВРП (процентов)</w:t>
            </w:r>
          </w:p>
        </w:tc>
        <w:tc>
          <w:tcPr>
            <w:tcW w:type="dxa" w:w="1100"/>
          </w:tcPr>
          <w:p w14:paraId="82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2,3</w:t>
            </w:r>
          </w:p>
        </w:tc>
        <w:tc>
          <w:tcPr>
            <w:tcW w:type="dxa" w:w="1155"/>
          </w:tcPr>
          <w:p w14:paraId="83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2,4</w:t>
            </w:r>
          </w:p>
        </w:tc>
        <w:tc>
          <w:tcPr>
            <w:tcW w:type="dxa" w:w="1155"/>
          </w:tcPr>
          <w:p w14:paraId="84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6,0</w:t>
            </w:r>
          </w:p>
        </w:tc>
      </w:tr>
      <w:tr>
        <w:tc>
          <w:tcPr>
            <w:tcW w:type="dxa" w:w="480"/>
          </w:tcPr>
          <w:p w14:paraId="85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86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занятых в креативных (творческих) профессиях (процентов)</w:t>
            </w:r>
          </w:p>
        </w:tc>
        <w:tc>
          <w:tcPr>
            <w:tcW w:type="dxa" w:w="1100"/>
          </w:tcPr>
          <w:p w14:paraId="87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1,9</w:t>
            </w:r>
          </w:p>
        </w:tc>
        <w:tc>
          <w:tcPr>
            <w:tcW w:type="dxa" w:w="1155"/>
          </w:tcPr>
          <w:p w14:paraId="88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2,3</w:t>
            </w:r>
          </w:p>
        </w:tc>
        <w:tc>
          <w:tcPr>
            <w:tcW w:type="dxa" w:w="1155"/>
          </w:tcPr>
          <w:p w14:paraId="89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15,0</w:t>
            </w:r>
          </w:p>
        </w:tc>
      </w:tr>
      <w:tr>
        <w:tc>
          <w:tcPr>
            <w:tcW w:type="dxa" w:w="9554"/>
            <w:gridSpan w:val="5"/>
          </w:tcPr>
          <w:p w14:paraId="8A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4.5.7. Агропромышленный комплекс</w:t>
            </w:r>
          </w:p>
        </w:tc>
      </w:tr>
      <w:tr>
        <w:tc>
          <w:tcPr>
            <w:tcW w:type="dxa" w:w="480"/>
          </w:tcPr>
          <w:p w14:paraId="8B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8C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Объем производства валовой продукции сельского хозяйства (млрд рублей)</w:t>
            </w:r>
          </w:p>
        </w:tc>
        <w:tc>
          <w:tcPr>
            <w:tcW w:type="dxa" w:w="1100"/>
          </w:tcPr>
          <w:p w14:paraId="8D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3,6</w:t>
            </w:r>
          </w:p>
        </w:tc>
        <w:tc>
          <w:tcPr>
            <w:tcW w:type="dxa" w:w="1155"/>
          </w:tcPr>
          <w:p w14:paraId="8E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4,2</w:t>
            </w:r>
          </w:p>
        </w:tc>
        <w:tc>
          <w:tcPr>
            <w:tcW w:type="dxa" w:w="1155"/>
          </w:tcPr>
          <w:p w14:paraId="8F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5,6</w:t>
            </w:r>
          </w:p>
        </w:tc>
      </w:tr>
      <w:tr>
        <w:tc>
          <w:tcPr>
            <w:tcW w:type="dxa" w:w="9554"/>
            <w:gridSpan w:val="5"/>
          </w:tcPr>
          <w:p w14:paraId="90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4.5.8. Потребительский рынок</w:t>
            </w:r>
          </w:p>
        </w:tc>
      </w:tr>
      <w:tr>
        <w:tc>
          <w:tcPr>
            <w:tcW w:type="dxa" w:w="480"/>
          </w:tcPr>
          <w:p w14:paraId="91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92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Оборот розничной торговли (млрд </w:t>
            </w:r>
            <w:r>
              <w:rPr>
                <w:rFonts w:ascii="Times New Roman" w:hAnsi="Times New Roman"/>
                <w:color w:val="000000"/>
                <w:sz w:val="28"/>
              </w:rPr>
              <w:t>рублей)</w:t>
            </w:r>
          </w:p>
        </w:tc>
        <w:tc>
          <w:tcPr>
            <w:tcW w:type="dxa" w:w="1100"/>
          </w:tcPr>
          <w:p w14:paraId="93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2,011</w:t>
            </w:r>
          </w:p>
        </w:tc>
        <w:tc>
          <w:tcPr>
            <w:tcW w:type="dxa" w:w="1155"/>
          </w:tcPr>
          <w:p w14:paraId="94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2,037</w:t>
            </w:r>
          </w:p>
        </w:tc>
        <w:tc>
          <w:tcPr>
            <w:tcW w:type="dxa" w:w="1155"/>
          </w:tcPr>
          <w:p w14:paraId="95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2, 583</w:t>
            </w:r>
          </w:p>
        </w:tc>
      </w:tr>
      <w:tr>
        <w:tc>
          <w:tcPr>
            <w:tcW w:type="dxa" w:w="9554"/>
            <w:gridSpan w:val="5"/>
          </w:tcPr>
          <w:p w14:paraId="96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4.5.9. Кадровое обеспечение экономики района</w:t>
            </w:r>
          </w:p>
        </w:tc>
      </w:tr>
      <w:tr>
        <w:tc>
          <w:tcPr>
            <w:tcW w:type="dxa" w:w="480"/>
          </w:tcPr>
          <w:p w14:paraId="97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98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Количество объектов служб занятости Ростовской области, перешедших от моделей центра занятости населения к кадровому центру (единиц)</w:t>
            </w:r>
          </w:p>
        </w:tc>
        <w:tc>
          <w:tcPr>
            <w:tcW w:type="dxa" w:w="1100"/>
          </w:tcPr>
          <w:p w14:paraId="99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1155"/>
          </w:tcPr>
          <w:p w14:paraId="9A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1155"/>
          </w:tcPr>
          <w:p w14:paraId="9B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</w:tr>
      <w:tr>
        <w:tc>
          <w:tcPr>
            <w:tcW w:type="dxa" w:w="480"/>
          </w:tcPr>
          <w:p w14:paraId="9C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664"/>
          </w:tcPr>
          <w:p w14:paraId="9D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Доля занятых граждан из числа завершивших профессиональное обучение и </w:t>
            </w:r>
            <w:r>
              <w:rPr>
                <w:rFonts w:ascii="Times New Roman" w:hAnsi="Times New Roman"/>
                <w:color w:val="000000"/>
                <w:sz w:val="28"/>
              </w:rPr>
              <w:t>дополнительное профессиональное образование (процентов)</w:t>
            </w:r>
          </w:p>
        </w:tc>
        <w:tc>
          <w:tcPr>
            <w:tcW w:type="dxa" w:w="1100"/>
          </w:tcPr>
          <w:p w14:paraId="9E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80</w:t>
            </w:r>
          </w:p>
        </w:tc>
        <w:tc>
          <w:tcPr>
            <w:tcW w:type="dxa" w:w="1155"/>
          </w:tcPr>
          <w:p w14:paraId="9F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85</w:t>
            </w:r>
          </w:p>
        </w:tc>
        <w:tc>
          <w:tcPr>
            <w:tcW w:type="dxa" w:w="1155"/>
          </w:tcPr>
          <w:p w14:paraId="A0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85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A10A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4.6. Технологическое лидерство в Обливском районе</w:t>
            </w:r>
          </w:p>
        </w:tc>
      </w:tr>
      <w:tr>
        <w:tc>
          <w:tcPr>
            <w:tcW w:type="dxa" w:w="9554"/>
            <w:gridSpan w:val="5"/>
          </w:tcPr>
          <w:p w14:paraId="A20A0000">
            <w:pPr>
              <w:widowControl w:val="0"/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4.6.1. Промышленность</w:t>
            </w:r>
          </w:p>
        </w:tc>
      </w:tr>
      <w:tr>
        <w:tc>
          <w:tcPr>
            <w:tcW w:type="dxa" w:w="480"/>
          </w:tcPr>
          <w:p w14:paraId="A3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A40A0000">
            <w:pPr>
              <w:widowControl w:val="0"/>
              <w:spacing w:after="0" w:before="0" w:line="264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Объем отгруженных товаров собственного производства, выполненных работ и услуг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собственными силами по виду экономической деятельности «Обрабатывающие производства»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(за исключением пищевой промышленности)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(млн рублей)</w:t>
            </w:r>
          </w:p>
        </w:tc>
        <w:tc>
          <w:tcPr>
            <w:tcW w:type="dxa" w:w="1100"/>
          </w:tcPr>
          <w:p w14:paraId="A5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462,7</w:t>
            </w:r>
          </w:p>
        </w:tc>
        <w:tc>
          <w:tcPr>
            <w:tcW w:type="dxa" w:w="1155"/>
          </w:tcPr>
          <w:p w14:paraId="A6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487,9</w:t>
            </w:r>
          </w:p>
        </w:tc>
        <w:tc>
          <w:tcPr>
            <w:tcW w:type="dxa" w:w="1155"/>
          </w:tcPr>
          <w:p w14:paraId="A70A0000">
            <w:pPr>
              <w:widowControl w:val="0"/>
              <w:tabs>
                <w:tab w:leader="none" w:pos="426" w:val="left"/>
              </w:tabs>
              <w:spacing w:after="0" w:before="0" w:line="264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555,9</w:t>
            </w:r>
          </w:p>
        </w:tc>
      </w:tr>
      <w:tr>
        <w:tc>
          <w:tcPr>
            <w:tcW w:type="dxa" w:w="9554"/>
            <w:gridSpan w:val="5"/>
            <w:shd w:fill="auto" w:val="clear"/>
          </w:tcPr>
          <w:p w14:paraId="A8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4.7. Цифровая трансформация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и муниципального управления, </w:t>
            </w:r>
            <w:r>
              <w:rPr>
                <w:rFonts w:ascii="Times New Roman" w:hAnsi="Times New Roman"/>
                <w:color w:val="000000"/>
                <w:sz w:val="28"/>
              </w:rPr>
              <w:t>экономики и социальной сферы в Обливском районе</w:t>
            </w:r>
          </w:p>
        </w:tc>
      </w:tr>
      <w:tr>
        <w:tc>
          <w:tcPr>
            <w:tcW w:type="dxa" w:w="9554"/>
            <w:gridSpan w:val="5"/>
          </w:tcPr>
          <w:p w14:paraId="A9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4.7.1. Информационно-коммуникационные технологии и инфраструктура</w:t>
            </w:r>
          </w:p>
        </w:tc>
      </w:tr>
      <w:tr>
        <w:trPr>
          <w:trHeight w:hRule="atLeast" w:val="495"/>
        </w:trPr>
        <w:tc>
          <w:tcPr>
            <w:tcW w:type="dxa" w:w="480"/>
          </w:tcPr>
          <w:p w14:paraId="AA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AB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Уровень цифровизации местной телефонной сети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в сельской местности (процентов)</w:t>
            </w:r>
          </w:p>
        </w:tc>
        <w:tc>
          <w:tcPr>
            <w:tcW w:type="dxa" w:w="1100"/>
          </w:tcPr>
          <w:p w14:paraId="AC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  <w:tc>
          <w:tcPr>
            <w:tcW w:type="dxa" w:w="1155"/>
          </w:tcPr>
          <w:p w14:paraId="AD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  <w:tc>
          <w:tcPr>
            <w:tcW w:type="dxa" w:w="1155"/>
          </w:tcPr>
          <w:p w14:paraId="AE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</w:tr>
      <w:tr>
        <w:tc>
          <w:tcPr>
            <w:tcW w:type="dxa" w:w="9554"/>
            <w:gridSpan w:val="5"/>
          </w:tcPr>
          <w:p w14:paraId="AF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4.7.2. Цифровизация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государственного и муниципального управления</w:t>
            </w:r>
          </w:p>
        </w:tc>
      </w:tr>
      <w:tr>
        <w:tc>
          <w:tcPr>
            <w:tcW w:type="dxa" w:w="480"/>
          </w:tcPr>
          <w:p w14:paraId="B0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B1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Доля государственных услуг и сервисов, по которым средняя оценка удовлетворенности качеством работы госслужащих и работников организаций соцсферы по их оказанию в электронном виде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с использованием ЕПГУ и (или) РПГУ </w:t>
            </w:r>
            <w:r>
              <w:rPr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color w:val="000000"/>
                <w:sz w:val="28"/>
              </w:rPr>
              <w:t>выше 4,5 (процентов)</w:t>
            </w:r>
          </w:p>
        </w:tc>
        <w:tc>
          <w:tcPr>
            <w:tcW w:type="dxa" w:w="1100"/>
          </w:tcPr>
          <w:p w14:paraId="B2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53</w:t>
            </w:r>
          </w:p>
        </w:tc>
        <w:tc>
          <w:tcPr>
            <w:tcW w:type="dxa" w:w="1155"/>
          </w:tcPr>
          <w:p w14:paraId="B3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53</w:t>
            </w:r>
          </w:p>
        </w:tc>
        <w:tc>
          <w:tcPr>
            <w:tcW w:type="dxa" w:w="1155"/>
          </w:tcPr>
          <w:p w14:paraId="B4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75</w:t>
            </w:r>
          </w:p>
        </w:tc>
      </w:tr>
      <w:tr>
        <w:tc>
          <w:tcPr>
            <w:tcW w:type="dxa" w:w="480"/>
          </w:tcPr>
          <w:p w14:paraId="B5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2</w:t>
            </w:r>
          </w:p>
        </w:tc>
        <w:tc>
          <w:tcPr>
            <w:tcW w:type="dxa" w:w="5664"/>
          </w:tcPr>
          <w:p w14:paraId="B6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ля российского программного обеспечения, используемого в деятельности органов </w:t>
            </w:r>
            <w:r>
              <w:rPr>
                <w:rFonts w:ascii="Times New Roman" w:hAnsi="Times New Roman"/>
                <w:color w:val="000000"/>
                <w:sz w:val="28"/>
              </w:rPr>
              <w:t>местного самоуправления (процентов)</w:t>
            </w:r>
          </w:p>
        </w:tc>
        <w:tc>
          <w:tcPr>
            <w:tcW w:type="dxa" w:w="1100"/>
          </w:tcPr>
          <w:p w14:paraId="B7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  <w:tc>
          <w:tcPr>
            <w:tcW w:type="dxa" w:w="1155"/>
          </w:tcPr>
          <w:p w14:paraId="B8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35</w:t>
            </w:r>
          </w:p>
        </w:tc>
        <w:tc>
          <w:tcPr>
            <w:tcW w:type="dxa" w:w="1155"/>
          </w:tcPr>
          <w:p w14:paraId="B9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-</w:t>
            </w:r>
          </w:p>
        </w:tc>
      </w:tr>
      <w:tr>
        <w:tc>
          <w:tcPr>
            <w:tcW w:type="dxa" w:w="480"/>
          </w:tcPr>
          <w:p w14:paraId="BA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</w:t>
            </w:r>
          </w:p>
        </w:tc>
        <w:tc>
          <w:tcPr>
            <w:tcW w:type="dxa" w:w="5664"/>
          </w:tcPr>
          <w:p w14:paraId="BB0A0000">
            <w:pPr>
              <w:widowControl w:val="0"/>
              <w:spacing w:line="192" w:lineRule="auto"/>
              <w:ind/>
              <w:contextualSpacing w:val="1"/>
              <w:jc w:val="left"/>
              <w:rPr>
                <w:rFonts w:ascii="Times New Roman" w:hAnsi="Times New Roman"/>
                <w:b w:val="0"/>
                <w:color w:val="000000"/>
                <w:sz w:val="28"/>
              </w:rPr>
            </w:pP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«Цифровая зрелость» государственного и муниципального управления, ключевых отраслей экономики 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br/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>и социальной сферы,</w:t>
            </w:r>
            <w:r>
              <w:rPr>
                <w:rFonts w:ascii="Times New Roman" w:hAnsi="Times New Roman"/>
                <w:b w:val="0"/>
                <w:color w:val="000000"/>
                <w:sz w:val="28"/>
              </w:rPr>
              <w:t xml:space="preserve"> в том числе здравоохранения и образования, </w:t>
            </w:r>
            <w:r>
              <w:rPr>
                <w:rFonts w:ascii="Times New Roman" w:hAnsi="Times New Roman"/>
                <w:b w:val="0"/>
                <w:i w:val="1"/>
                <w:color w:val="000000"/>
                <w:sz w:val="28"/>
              </w:rPr>
              <w:t>проценты</w:t>
            </w:r>
          </w:p>
          <w:p w14:paraId="BC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left"/>
              <w:rPr>
                <w:rFonts w:ascii="Times New Roman" w:hAnsi="Times New Roman"/>
                <w:b w:val="0"/>
                <w:color w:val="000000"/>
                <w:sz w:val="28"/>
              </w:rPr>
            </w:pPr>
          </w:p>
        </w:tc>
        <w:tc>
          <w:tcPr>
            <w:tcW w:type="dxa" w:w="1100"/>
          </w:tcPr>
          <w:p w14:paraId="BD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38,8</w:t>
            </w:r>
          </w:p>
        </w:tc>
        <w:tc>
          <w:tcPr>
            <w:tcW w:type="dxa" w:w="1155"/>
          </w:tcPr>
          <w:p w14:paraId="BE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51,0</w:t>
            </w:r>
          </w:p>
        </w:tc>
        <w:tc>
          <w:tcPr>
            <w:tcW w:type="dxa" w:w="1155"/>
          </w:tcPr>
          <w:p w14:paraId="BF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100,0</w:t>
            </w:r>
          </w:p>
        </w:tc>
      </w:tr>
      <w:tr>
        <w:tc>
          <w:tcPr>
            <w:tcW w:type="dxa" w:w="9554"/>
            <w:gridSpan w:val="5"/>
          </w:tcPr>
          <w:p w14:paraId="C0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5. Система управления и ресурсное обеспечение реализации </w:t>
            </w:r>
            <w:r>
              <w:rPr>
                <w:rFonts w:ascii="Times New Roman" w:hAnsi="Times New Roman"/>
                <w:color w:val="000000"/>
                <w:sz w:val="28"/>
              </w:rPr>
              <w:t>Стратегии</w:t>
            </w:r>
          </w:p>
        </w:tc>
      </w:tr>
      <w:tr>
        <w:tc>
          <w:tcPr>
            <w:tcW w:type="dxa" w:w="9554"/>
            <w:gridSpan w:val="5"/>
          </w:tcPr>
          <w:p w14:paraId="C10A0000">
            <w:pPr>
              <w:widowControl w:val="0"/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5.1. Политика в сфере  муниципального управления</w:t>
            </w:r>
          </w:p>
        </w:tc>
      </w:tr>
      <w:tr>
        <w:tc>
          <w:tcPr>
            <w:tcW w:type="dxa" w:w="480"/>
          </w:tcPr>
          <w:p w14:paraId="C2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</w:t>
            </w:r>
          </w:p>
        </w:tc>
        <w:tc>
          <w:tcPr>
            <w:tcW w:type="dxa" w:w="5664"/>
          </w:tcPr>
          <w:p w14:paraId="C3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Доля граждан, позитивно оценивающих деятельность органов местного самоуправления (процентов)</w:t>
            </w:r>
          </w:p>
        </w:tc>
        <w:tc>
          <w:tcPr>
            <w:tcW w:type="dxa" w:w="1100"/>
          </w:tcPr>
          <w:p w14:paraId="C4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38,1</w:t>
            </w:r>
          </w:p>
        </w:tc>
        <w:tc>
          <w:tcPr>
            <w:tcW w:type="dxa" w:w="1155"/>
          </w:tcPr>
          <w:p w14:paraId="C5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38,2</w:t>
            </w:r>
          </w:p>
        </w:tc>
        <w:tc>
          <w:tcPr>
            <w:tcW w:type="dxa" w:w="1155"/>
          </w:tcPr>
          <w:p w14:paraId="C6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38,4</w:t>
            </w:r>
          </w:p>
        </w:tc>
      </w:tr>
      <w:tr>
        <w:tc>
          <w:tcPr>
            <w:tcW w:type="dxa" w:w="9554"/>
            <w:gridSpan w:val="5"/>
          </w:tcPr>
          <w:p w14:paraId="C7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5.2. </w:t>
            </w:r>
            <w:r>
              <w:rPr>
                <w:rFonts w:ascii="Times New Roman" w:hAnsi="Times New Roman"/>
                <w:color w:val="000000"/>
                <w:sz w:val="28"/>
              </w:rPr>
              <w:t>Кадровая политика в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муниципальном управлении</w:t>
            </w:r>
          </w:p>
        </w:tc>
      </w:tr>
      <w:tr>
        <w:tc>
          <w:tcPr>
            <w:tcW w:type="dxa" w:w="480"/>
          </w:tcPr>
          <w:p w14:paraId="C8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type="dxa" w:w="5664"/>
          </w:tcPr>
          <w:p w14:paraId="C90A0000">
            <w:pPr>
              <w:widowControl w:val="0"/>
              <w:tabs>
                <w:tab w:leader="none" w:pos="426" w:val="left"/>
              </w:tabs>
              <w:spacing w:after="0" w:line="240" w:lineRule="auto"/>
              <w:ind/>
              <w:rPr>
                <w:rFonts w:ascii="Times New Roman" w:hAnsi="Times New Roman"/>
                <w:color w:val="000000"/>
                <w:sz w:val="28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Доля муниципальных служащих в возрасте до 30 лет, имеющих стаж муниципальной службы не </w:t>
            </w:r>
            <w:r>
              <w:rPr>
                <w:rFonts w:ascii="Times New Roman" w:hAnsi="Times New Roman"/>
                <w:color w:val="000000"/>
                <w:sz w:val="28"/>
              </w:rPr>
              <w:t>менее 3 лет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(процентов)</w:t>
            </w:r>
          </w:p>
        </w:tc>
        <w:tc>
          <w:tcPr>
            <w:tcW w:type="dxa" w:w="1100"/>
          </w:tcPr>
          <w:p w14:paraId="CA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14,0</w:t>
            </w:r>
          </w:p>
        </w:tc>
        <w:tc>
          <w:tcPr>
            <w:tcW w:type="dxa" w:w="1155"/>
          </w:tcPr>
          <w:p w14:paraId="CB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14,5</w:t>
            </w:r>
          </w:p>
        </w:tc>
        <w:tc>
          <w:tcPr>
            <w:tcW w:type="dxa" w:w="1155"/>
          </w:tcPr>
          <w:p w14:paraId="CC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15,0</w:t>
            </w:r>
          </w:p>
        </w:tc>
      </w:tr>
      <w:tr>
        <w:tc>
          <w:tcPr>
            <w:tcW w:type="dxa" w:w="9554"/>
            <w:gridSpan w:val="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CD0A0000">
            <w:pPr>
              <w:widowControl w:val="0"/>
              <w:spacing w:after="0" w:line="240" w:lineRule="auto"/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5.3</w:t>
            </w:r>
            <w:r>
              <w:rPr>
                <w:rFonts w:ascii="Times New Roman" w:hAnsi="Times New Roman"/>
                <w:sz w:val="28"/>
              </w:rPr>
              <w:t>. Финансовая и бюджетная политика</w:t>
            </w:r>
          </w:p>
        </w:tc>
      </w:tr>
      <w:tr>
        <w:tc>
          <w:tcPr>
            <w:tcW w:type="dxa" w:w="480"/>
          </w:tcPr>
          <w:p w14:paraId="CE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1.</w:t>
            </w:r>
          </w:p>
        </w:tc>
        <w:tc>
          <w:tcPr>
            <w:tcW w:type="dxa" w:w="5664"/>
          </w:tcPr>
          <w:p w14:paraId="CF0A0000">
            <w:pPr>
              <w:widowControl w:val="0"/>
              <w:spacing w:after="0" w:line="240" w:lineRule="auto"/>
              <w:ind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Д</w:t>
            </w:r>
            <w:r>
              <w:rPr>
                <w:rFonts w:ascii="Times New Roman" w:hAnsi="Times New Roman"/>
                <w:sz w:val="28"/>
              </w:rPr>
              <w:t xml:space="preserve">оля организаций – участников бюджетного процесса, осуществляющих процессы планирования и исполнения своих бюджетов в информационной системе «Единая автоматизированная система управления общественными финансами </w:t>
            </w:r>
            <w:r>
              <w:rPr>
                <w:sz w:val="28"/>
              </w:rPr>
              <w:br/>
            </w:r>
            <w:r>
              <w:rPr>
                <w:rFonts w:ascii="Times New Roman" w:hAnsi="Times New Roman"/>
                <w:sz w:val="28"/>
              </w:rPr>
              <w:t>в Ростовской области» (процентов)</w:t>
            </w:r>
          </w:p>
          <w:p w14:paraId="D0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type="dxa" w:w="1100"/>
          </w:tcPr>
          <w:p w14:paraId="D1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  <w:tc>
          <w:tcPr>
            <w:tcW w:type="dxa" w:w="1155"/>
          </w:tcPr>
          <w:p w14:paraId="D2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  <w:tc>
          <w:tcPr>
            <w:tcW w:type="dxa" w:w="1155"/>
          </w:tcPr>
          <w:p w14:paraId="D30A0000">
            <w:pPr>
              <w:widowControl w:val="0"/>
              <w:tabs>
                <w:tab w:leader="none" w:pos="426" w:val="left"/>
              </w:tabs>
              <w:spacing w:after="0" w:before="0" w:line="240" w:lineRule="auto"/>
              <w:ind/>
              <w:jc w:val="center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100</w:t>
            </w:r>
          </w:p>
        </w:tc>
      </w:tr>
    </w:tbl>
    <w:p w14:paraId="D4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5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6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7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8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9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A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B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C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D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E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DF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0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1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2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3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4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5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6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7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8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9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A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B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C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D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E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EF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0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1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2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3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4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5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6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7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8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9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A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B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C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p w14:paraId="FD0A0000">
      <w:pPr>
        <w:widowControl w:val="0"/>
        <w:spacing w:after="0" w:before="0" w:line="240" w:lineRule="auto"/>
        <w:ind/>
        <w:rPr>
          <w:rFonts w:ascii="Times New Roman" w:hAnsi="Times New Roman"/>
          <w:color w:val="CF543F"/>
          <w:sz w:val="28"/>
        </w:rPr>
      </w:pPr>
    </w:p>
    <w:sectPr>
      <w:headerReference r:id="rId2" w:type="default"/>
      <w:footerReference r:id="rId1" w:type="first"/>
      <w:type w:val="nextPage"/>
      <w:pgSz w:h="16838" w:orient="portrait" w:w="11906"/>
      <w:pgMar w:bottom="1134" w:footer="624" w:gutter="0" w:header="680" w:left="1701" w:right="567" w:top="1134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spacing w:after="0" w:line="240" w:lineRule="auto"/>
      <w:ind/>
      <w:rPr>
        <w:rFonts w:ascii="Times New Roman" w:hAnsi="Times New Roman"/>
        <w:sz w:val="20"/>
      </w:rPr>
    </w:pPr>
  </w:p>
  <w:p w14:paraId="02000000">
    <w:pPr>
      <w:spacing w:after="0" w:line="240" w:lineRule="auto"/>
      <w:ind/>
      <w:rPr>
        <w:rFonts w:ascii="Times New Roman" w:hAnsi="Times New Roman"/>
        <w:sz w:val="20"/>
      </w:rPr>
    </w:pPr>
  </w:p>
  <w:p w14:paraId="03000000">
    <w:pPr>
      <w:spacing w:after="0" w:line="240" w:lineRule="auto"/>
      <w:ind/>
      <w:rPr>
        <w:rFonts w:ascii="Times New Roman" w:hAnsi="Times New Roman"/>
        <w:sz w:val="20"/>
      </w:rPr>
    </w:pP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spacing w:after="0" w:line="240" w:lineRule="auto"/>
      <w:ind/>
      <w:rPr>
        <w:rFonts w:ascii="Times New Roman" w:hAnsi="Times New Roman"/>
        <w:sz w:val="20"/>
      </w:rPr>
    </w:pPr>
  </w:p>
  <w:p w14:paraId="09000000">
    <w:pPr>
      <w:spacing w:after="0" w:line="240" w:lineRule="auto"/>
      <w:ind/>
      <w:rPr>
        <w:rFonts w:ascii="Times New Roman" w:hAnsi="Times New Roman"/>
        <w:sz w:val="20"/>
      </w:rPr>
    </w:pPr>
  </w:p>
  <w:p w14:paraId="0A000000">
    <w:pPr>
      <w:spacing w:after="0" w:line="240" w:lineRule="auto"/>
      <w:ind/>
      <w:rPr>
        <w:rFonts w:ascii="Times New Roman" w:hAnsi="Times New Roman"/>
        <w:sz w:val="20"/>
      </w:rPr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D000000">
    <w:pPr>
      <w:spacing w:after="0" w:line="240" w:lineRule="auto"/>
      <w:ind/>
      <w:rPr>
        <w:rFonts w:ascii="Times New Roman" w:hAnsi="Times New Roman"/>
        <w:sz w:val="20"/>
      </w:rPr>
    </w:pPr>
  </w:p>
  <w:p w14:paraId="0E000000">
    <w:pPr>
      <w:spacing w:after="0" w:line="240" w:lineRule="auto"/>
      <w:ind/>
      <w:rPr>
        <w:rFonts w:ascii="Times New Roman" w:hAnsi="Times New Roman"/>
        <w:sz w:val="20"/>
      </w:rPr>
    </w:pPr>
  </w:p>
  <w:p w14:paraId="0F000000">
    <w:pPr>
      <w:spacing w:after="0" w:line="240" w:lineRule="auto"/>
      <w:ind/>
      <w:rPr>
        <w:rFonts w:ascii="Times New Roman" w:hAnsi="Times New Roman"/>
        <w:sz w:val="20"/>
      </w:rPr>
    </w:pPr>
  </w:p>
</w:ftr>
</file>

<file path=word/footer8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2000000">
    <w:pPr>
      <w:spacing w:after="0" w:line="240" w:lineRule="auto"/>
      <w:ind/>
      <w:rPr>
        <w:rFonts w:ascii="Times New Roman" w:hAnsi="Times New Roman"/>
        <w:sz w:val="20"/>
      </w:rPr>
    </w:pPr>
  </w:p>
  <w:p w14:paraId="13000000">
    <w:pPr>
      <w:spacing w:after="0" w:line="240" w:lineRule="auto"/>
      <w:ind/>
      <w:rPr>
        <w:rFonts w:ascii="Times New Roman" w:hAnsi="Times New Roman"/>
        <w:sz w:val="20"/>
      </w:rPr>
    </w:pPr>
  </w:p>
  <w:p w14:paraId="14000000">
    <w:pPr>
      <w:spacing w:after="0" w:line="240" w:lineRule="auto"/>
      <w:ind/>
      <w:rPr>
        <w:rFonts w:ascii="Times New Roman" w:hAnsi="Times New Roman"/>
        <w:sz w:val="20"/>
      </w:rPr>
    </w:pPr>
  </w:p>
</w:ftr>
</file>

<file path=word/footer9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5000000">
    <w:pPr>
      <w:spacing w:after="0" w:line="240" w:lineRule="auto"/>
      <w:ind/>
      <w:rPr>
        <w:rFonts w:ascii="Times New Roman" w:hAnsi="Times New Roman"/>
        <w:sz w:val="20"/>
      </w:rPr>
    </w:pPr>
  </w:p>
  <w:p w14:paraId="16000000">
    <w:pPr>
      <w:spacing w:after="0" w:line="240" w:lineRule="auto"/>
      <w:ind/>
      <w:rPr>
        <w:rFonts w:ascii="Times New Roman" w:hAnsi="Times New Roman"/>
        <w:sz w:val="20"/>
      </w:rPr>
    </w:pPr>
  </w:p>
  <w:p w14:paraId="17000000">
    <w:pPr>
      <w:spacing w:after="0" w:line="240" w:lineRule="auto"/>
      <w:ind/>
      <w:rPr>
        <w:rFonts w:ascii="Times New Roman" w:hAnsi="Times New Roman"/>
        <w:sz w:val="20"/>
      </w:rPr>
    </w:pPr>
  </w:p>
</w:ftr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FE0A0000">
      <w:pPr>
        <w:pStyle w:val="Style_33"/>
      </w:pPr>
      <w:r>
        <w:rPr>
          <w:vertAlign w:val="superscript"/>
        </w:rPr>
        <w:footnoteRef/>
      </w:r>
    </w:p>
  </w:footnote>
  <w:footnote w:id="2">
    <w:p w14:paraId="FF0A0000">
      <w:pPr>
        <w:pStyle w:val="Style_33"/>
      </w:pPr>
      <w:r>
        <w:rPr>
          <w:vertAlign w:val="superscript"/>
        </w:rPr>
        <w:footnoteRef/>
      </w:r>
    </w:p>
  </w:footnote>
</w:footnotes>
</file>

<file path=word/header10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8000000">
    <w:pPr>
      <w:ind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fldChar w:fldCharType="end"/>
    </w:r>
  </w:p>
  <w:p w14:paraId="19000000">
    <w:pPr>
      <w:pStyle w:val="Style_1"/>
      <w:ind/>
      <w:jc w:val="center"/>
      <w:rPr>
        <w:rFonts w:ascii="Times New Roman" w:hAnsi="Times New Roman"/>
        <w:sz w:val="20"/>
      </w:rPr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ind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fldChar w:fldCharType="end"/>
    </w:r>
  </w:p>
  <w:p w14:paraId="05000000">
    <w:pPr>
      <w:pStyle w:val="Style_1"/>
      <w:ind/>
      <w:jc w:val="center"/>
      <w:rPr>
        <w:rFonts w:ascii="Times New Roman" w:hAnsi="Times New Roman"/>
        <w:sz w:val="20"/>
      </w:rPr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ind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fldChar w:fldCharType="end"/>
    </w:r>
  </w:p>
  <w:p w14:paraId="07000000">
    <w:pPr>
      <w:pStyle w:val="Style_1"/>
      <w:ind/>
      <w:jc w:val="center"/>
      <w:rPr>
        <w:rFonts w:ascii="Times New Roman" w:hAnsi="Times New Roman"/>
        <w:sz w:val="20"/>
      </w:rPr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ind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fldChar w:fldCharType="end"/>
    </w:r>
  </w:p>
  <w:p w14:paraId="0C000000">
    <w:pPr>
      <w:pStyle w:val="Style_1"/>
      <w:ind/>
      <w:jc w:val="center"/>
      <w:rPr>
        <w:rFonts w:ascii="Times New Roman" w:hAnsi="Times New Roman"/>
        <w:sz w:val="20"/>
      </w:rPr>
    </w:pPr>
  </w:p>
</w:hdr>
</file>

<file path=word/header7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10000000">
    <w:pPr>
      <w:ind/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>PAGE \* Arabic</w:instrText>
    </w:r>
    <w:r>
      <w:rPr>
        <w:rFonts w:ascii="Times New Roman" w:hAnsi="Times New Roman"/>
        <w:sz w:val="20"/>
      </w:rPr>
      <w:fldChar w:fldCharType="separate"/>
    </w:r>
    <w:r>
      <w:rPr>
        <w:rFonts w:ascii="Times New Roman" w:hAnsi="Times New Roman"/>
        <w:sz w:val="20"/>
      </w:rPr>
      <w:t xml:space="preserve"> </w:t>
    </w:r>
    <w:r>
      <w:rPr>
        <w:rFonts w:ascii="Times New Roman" w:hAnsi="Times New Roman"/>
        <w:sz w:val="20"/>
      </w:rPr>
      <w:fldChar w:fldCharType="end"/>
    </w:r>
  </w:p>
  <w:p w14:paraId="11000000">
    <w:pPr>
      <w:pStyle w:val="Style_1"/>
      <w:ind/>
      <w:jc w:val="center"/>
      <w:rPr>
        <w:rFonts w:ascii="Times New Roman" w:hAnsi="Times New Roman"/>
        <w:sz w:val="20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abstractNum w:abstractNumId="2">
    <w:lvl w:ilvl="0">
      <w:start w:val="1"/>
      <w:numFmt w:val="decimal"/>
      <w:lvlText w:val="%1."/>
      <w:pPr>
        <w:ind w:hanging="360" w:left="720"/>
      </w:pPr>
    </w:lvl>
    <w:lvl w:ilvl="1">
      <w:start w:val="1"/>
      <w:numFmt w:val="lowerLetter"/>
      <w:lvlText w:val="%2."/>
      <w:pPr>
        <w:ind w:hanging="360" w:left="1440"/>
      </w:pPr>
    </w:lvl>
    <w:lvl w:ilvl="2">
      <w:start w:val="1"/>
      <w:numFmt w:val="lowerRoman"/>
      <w:lvlText w:val="%3."/>
      <w:lvlJc w:val="right"/>
      <w:pPr>
        <w:ind w:hanging="360" w:left="2160"/>
      </w:pPr>
    </w:lvl>
    <w:lvl w:ilvl="3">
      <w:start w:val="1"/>
      <w:numFmt w:val="decimal"/>
      <w:lvlText w:val="%4."/>
      <w:pPr>
        <w:ind w:hanging="360" w:left="2880"/>
      </w:pPr>
    </w:lvl>
    <w:lvl w:ilvl="4">
      <w:start w:val="1"/>
      <w:numFmt w:val="lowerLetter"/>
      <w:lvlText w:val="%5."/>
      <w:pPr>
        <w:ind w:hanging="360" w:left="3600"/>
      </w:pPr>
    </w:lvl>
    <w:lvl w:ilvl="5">
      <w:start w:val="1"/>
      <w:numFmt w:val="lowerRoman"/>
      <w:lvlText w:val="%6."/>
      <w:lvlJc w:val="right"/>
      <w:pPr>
        <w:ind w:hanging="360" w:left="4320"/>
      </w:pPr>
    </w:lvl>
    <w:lvl w:ilvl="6">
      <w:start w:val="1"/>
      <w:numFmt w:val="decimal"/>
      <w:lvlText w:val="%7."/>
      <w:pPr>
        <w:ind w:hanging="360" w:left="5040"/>
      </w:pPr>
    </w:lvl>
    <w:lvl w:ilvl="7">
      <w:start w:val="1"/>
      <w:numFmt w:val="lowerLetter"/>
      <w:lvlText w:val="%8."/>
      <w:pPr>
        <w:ind w:hanging="360" w:left="5760"/>
      </w:pPr>
    </w:lvl>
    <w:lvl w:ilvl="8">
      <w:start w:val="1"/>
      <w:numFmt w:val="lowerRoman"/>
      <w:lvlText w:val="%9."/>
      <w:lvlJc w:val="right"/>
      <w:pPr>
        <w:ind w:hanging="360" w:left="6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9" w:type="paragraph">
    <w:name w:val="Normal"/>
    <w:link w:val="Style_9_ch"/>
    <w:uiPriority w:val="0"/>
    <w:qFormat/>
    <w:pPr>
      <w:spacing w:after="200" w:line="276" w:lineRule="auto"/>
      <w:ind/>
    </w:pPr>
  </w:style>
  <w:style w:default="1" w:styleId="Style_9_ch" w:type="character">
    <w:name w:val="Normal"/>
    <w:link w:val="Style_9"/>
  </w:style>
  <w:style w:styleId="Style_12" w:type="paragraph">
    <w:name w:val="Обычный1"/>
    <w:link w:val="Style_12_ch"/>
  </w:style>
  <w:style w:styleId="Style_12_ch" w:type="character">
    <w:name w:val="Обычный1"/>
    <w:link w:val="Style_12"/>
  </w:style>
  <w:style w:styleId="Style_4" w:type="paragraph">
    <w:name w:val="toc 2"/>
    <w:basedOn w:val="Style_9"/>
    <w:next w:val="Style_9"/>
    <w:link w:val="Style_4_ch"/>
    <w:uiPriority w:val="39"/>
    <w:pPr>
      <w:spacing w:after="100"/>
      <w:ind w:firstLine="0" w:left="220"/>
    </w:pPr>
    <w:rPr>
      <w:rFonts w:ascii="Times New Roman" w:hAnsi="Times New Roman"/>
      <w:sz w:val="28"/>
    </w:rPr>
  </w:style>
  <w:style w:styleId="Style_4_ch" w:type="character">
    <w:name w:val="toc 2"/>
    <w:basedOn w:val="Style_9_ch"/>
    <w:link w:val="Style_4"/>
    <w:rPr>
      <w:rFonts w:ascii="Times New Roman" w:hAnsi="Times New Roman"/>
      <w:sz w:val="28"/>
    </w:rPr>
  </w:style>
  <w:style w:styleId="Style_13" w:type="paragraph">
    <w:name w:val="Обычный1"/>
    <w:link w:val="Style_13_ch"/>
  </w:style>
  <w:style w:styleId="Style_13_ch" w:type="character">
    <w:name w:val="Обычный1"/>
    <w:link w:val="Style_13"/>
  </w:style>
  <w:style w:styleId="Style_14" w:type="paragraph">
    <w:name w:val="Default"/>
    <w:link w:val="Style_14_ch"/>
    <w:rPr>
      <w:rFonts w:ascii="Times New Roman" w:hAnsi="Times New Roman"/>
      <w:sz w:val="24"/>
    </w:rPr>
  </w:style>
  <w:style w:styleId="Style_14_ch" w:type="character">
    <w:name w:val="Default"/>
    <w:link w:val="Style_14"/>
    <w:rPr>
      <w:rFonts w:ascii="Times New Roman" w:hAnsi="Times New Roman"/>
      <w:sz w:val="24"/>
    </w:rPr>
  </w:style>
  <w:style w:styleId="Style_15" w:type="paragraph">
    <w:name w:val="toc 4"/>
    <w:basedOn w:val="Style_9"/>
    <w:next w:val="Style_9"/>
    <w:link w:val="Style_15_ch"/>
    <w:uiPriority w:val="39"/>
    <w:pPr>
      <w:spacing w:after="100"/>
      <w:ind w:firstLine="0" w:left="660"/>
    </w:pPr>
  </w:style>
  <w:style w:styleId="Style_15_ch" w:type="character">
    <w:name w:val="toc 4"/>
    <w:basedOn w:val="Style_9_ch"/>
    <w:link w:val="Style_15"/>
  </w:style>
  <w:style w:styleId="Style_16" w:type="paragraph">
    <w:name w:val="Заголовок1"/>
    <w:basedOn w:val="Style_9"/>
    <w:next w:val="Style_17"/>
    <w:link w:val="Style_16_ch"/>
    <w:pPr>
      <w:keepNext w:val="1"/>
      <w:spacing w:after="120" w:before="240"/>
      <w:ind/>
    </w:pPr>
    <w:rPr>
      <w:rFonts w:ascii="Arial" w:hAnsi="Arial"/>
      <w:sz w:val="28"/>
    </w:rPr>
  </w:style>
  <w:style w:styleId="Style_16_ch" w:type="character">
    <w:name w:val="Заголовок1"/>
    <w:basedOn w:val="Style_9_ch"/>
    <w:link w:val="Style_16"/>
    <w:rPr>
      <w:rFonts w:ascii="Arial" w:hAnsi="Arial"/>
      <w:sz w:val="28"/>
    </w:rPr>
  </w:style>
  <w:style w:styleId="Style_18" w:type="paragraph">
    <w:name w:val="toc 6"/>
    <w:next w:val="Style_9"/>
    <w:link w:val="Style_18_ch"/>
    <w:uiPriority w:val="39"/>
    <w:pPr>
      <w:ind w:firstLine="0" w:left="1000"/>
    </w:pPr>
    <w:rPr>
      <w:rFonts w:ascii="XO Thames" w:hAnsi="XO Thames"/>
      <w:sz w:val="28"/>
    </w:rPr>
  </w:style>
  <w:style w:styleId="Style_18_ch" w:type="character">
    <w:name w:val="toc 6"/>
    <w:link w:val="Style_18"/>
    <w:rPr>
      <w:rFonts w:ascii="XO Thames" w:hAnsi="XO Thames"/>
      <w:sz w:val="28"/>
    </w:rPr>
  </w:style>
  <w:style w:styleId="Style_19" w:type="paragraph">
    <w:name w:val="toc 7"/>
    <w:next w:val="Style_9"/>
    <w:link w:val="Style_19_ch"/>
    <w:uiPriority w:val="39"/>
    <w:pPr>
      <w:ind w:firstLine="0" w:left="1200"/>
    </w:pPr>
    <w:rPr>
      <w:rFonts w:ascii="XO Thames" w:hAnsi="XO Thames"/>
      <w:sz w:val="28"/>
    </w:rPr>
  </w:style>
  <w:style w:styleId="Style_19_ch" w:type="character">
    <w:name w:val="toc 7"/>
    <w:link w:val="Style_19"/>
    <w:rPr>
      <w:rFonts w:ascii="XO Thames" w:hAnsi="XO Thames"/>
      <w:sz w:val="28"/>
    </w:rPr>
  </w:style>
  <w:style w:styleId="Style_20" w:type="paragraph">
    <w:name w:val="Default Paragraph Font"/>
    <w:link w:val="Style_20_ch"/>
  </w:style>
  <w:style w:styleId="Style_20_ch" w:type="character">
    <w:name w:val="Default Paragraph Font"/>
    <w:link w:val="Style_20"/>
  </w:style>
  <w:style w:styleId="Style_21" w:type="paragraph">
    <w:name w:val="Знак сноски1"/>
    <w:link w:val="Style_21_ch"/>
    <w:rPr>
      <w:vertAlign w:val="superscript"/>
    </w:rPr>
  </w:style>
  <w:style w:styleId="Style_21_ch" w:type="character">
    <w:name w:val="Знак сноски1"/>
    <w:link w:val="Style_21"/>
    <w:rPr>
      <w:vertAlign w:val="superscript"/>
    </w:rPr>
  </w:style>
  <w:style w:styleId="Style_22" w:type="paragraph">
    <w:name w:val="Endnote"/>
    <w:link w:val="Style_22_ch"/>
    <w:pPr>
      <w:ind w:firstLine="851" w:left="0"/>
      <w:jc w:val="both"/>
    </w:pPr>
    <w:rPr>
      <w:rFonts w:ascii="XO Thames" w:hAnsi="XO Thames"/>
      <w:sz w:val="22"/>
    </w:rPr>
  </w:style>
  <w:style w:styleId="Style_22_ch" w:type="character">
    <w:name w:val="Endnote"/>
    <w:link w:val="Style_22"/>
    <w:rPr>
      <w:rFonts w:ascii="XO Thames" w:hAnsi="XO Thames"/>
      <w:sz w:val="22"/>
    </w:rPr>
  </w:style>
  <w:style w:styleId="Style_23" w:type="paragraph">
    <w:name w:val="heading 3"/>
    <w:basedOn w:val="Style_9"/>
    <w:next w:val="Style_9"/>
    <w:link w:val="Style_23_ch"/>
    <w:uiPriority w:val="9"/>
    <w:qFormat/>
    <w:pPr>
      <w:keepNext w:val="1"/>
      <w:keepLines w:val="1"/>
      <w:spacing w:after="0" w:before="200"/>
      <w:ind/>
      <w:outlineLvl w:val="2"/>
    </w:pPr>
    <w:rPr>
      <w:rFonts w:asciiTheme="majorAscii" w:hAnsiTheme="majorHAnsi"/>
      <w:b w:val="1"/>
      <w:color w:themeColor="accent1" w:val="93A299"/>
    </w:rPr>
  </w:style>
  <w:style w:styleId="Style_23_ch" w:type="character">
    <w:name w:val="heading 3"/>
    <w:basedOn w:val="Style_9_ch"/>
    <w:link w:val="Style_23"/>
    <w:rPr>
      <w:rFonts w:asciiTheme="majorAscii" w:hAnsiTheme="majorHAnsi"/>
      <w:b w:val="1"/>
      <w:color w:themeColor="accent1" w:val="93A299"/>
    </w:rPr>
  </w:style>
  <w:style w:styleId="Style_24" w:type="paragraph">
    <w:name w:val="Гиперссылка2"/>
    <w:link w:val="Style_24_ch"/>
    <w:rPr>
      <w:color w:val="0000FF"/>
      <w:u w:val="single"/>
    </w:rPr>
  </w:style>
  <w:style w:styleId="Style_24_ch" w:type="character">
    <w:name w:val="Гиперссылка2"/>
    <w:link w:val="Style_24"/>
    <w:rPr>
      <w:color w:val="0000FF"/>
      <w:u w:val="single"/>
    </w:rPr>
  </w:style>
  <w:style w:styleId="Style_7" w:type="paragraph">
    <w:name w:val="Основной шрифт абзаца2"/>
    <w:link w:val="Style_7_ch"/>
  </w:style>
  <w:style w:styleId="Style_7_ch" w:type="character">
    <w:name w:val="Основной шрифт абзаца2"/>
    <w:link w:val="Style_7"/>
  </w:style>
  <w:style w:styleId="Style_25" w:type="paragraph">
    <w:name w:val="TOC Heading"/>
    <w:basedOn w:val="Style_7"/>
    <w:next w:val="Style_9"/>
    <w:link w:val="Style_25_ch"/>
    <w:pPr>
      <w:keepNext w:val="1"/>
      <w:keepLines w:val="1"/>
      <w:spacing w:after="0" w:before="480"/>
      <w:ind/>
      <w:jc w:val="left"/>
      <w:outlineLvl w:val="8"/>
    </w:pPr>
    <w:rPr>
      <w:rFonts w:asciiTheme="majorAscii" w:hAnsiTheme="majorHAnsi"/>
      <w:color w:themeColor="accent1" w:themeShade="BF" w:val="6B7C72"/>
    </w:rPr>
  </w:style>
  <w:style w:styleId="Style_25_ch" w:type="character">
    <w:name w:val="TOC Heading"/>
    <w:basedOn w:val="Style_7_ch"/>
    <w:link w:val="Style_25"/>
    <w:rPr>
      <w:rFonts w:asciiTheme="majorAscii" w:hAnsiTheme="majorHAnsi"/>
      <w:color w:themeColor="accent1" w:themeShade="BF" w:val="6B7C72"/>
    </w:rPr>
  </w:style>
  <w:style w:styleId="Style_26" w:type="paragraph">
    <w:name w:val="caption"/>
    <w:basedOn w:val="Style_9"/>
    <w:link w:val="Style_26_ch"/>
    <w:pPr>
      <w:spacing w:after="120" w:before="120"/>
      <w:ind/>
    </w:pPr>
    <w:rPr>
      <w:i w:val="1"/>
      <w:sz w:val="24"/>
    </w:rPr>
  </w:style>
  <w:style w:styleId="Style_26_ch" w:type="character">
    <w:name w:val="caption"/>
    <w:basedOn w:val="Style_9_ch"/>
    <w:link w:val="Style_26"/>
    <w:rPr>
      <w:i w:val="1"/>
      <w:sz w:val="24"/>
    </w:rPr>
  </w:style>
  <w:style w:styleId="Style_5" w:type="paragraph">
    <w:name w:val="toc 3"/>
    <w:basedOn w:val="Style_9"/>
    <w:next w:val="Style_9"/>
    <w:link w:val="Style_5_ch"/>
    <w:uiPriority w:val="39"/>
    <w:pPr>
      <w:spacing w:after="100"/>
      <w:ind w:firstLine="0" w:left="440"/>
    </w:pPr>
    <w:rPr>
      <w:rFonts w:ascii="Times New Roman" w:hAnsi="Times New Roman"/>
      <w:sz w:val="28"/>
    </w:rPr>
  </w:style>
  <w:style w:styleId="Style_5_ch" w:type="character">
    <w:name w:val="toc 3"/>
    <w:basedOn w:val="Style_9_ch"/>
    <w:link w:val="Style_5"/>
    <w:rPr>
      <w:rFonts w:ascii="Times New Roman" w:hAnsi="Times New Roman"/>
      <w:sz w:val="28"/>
    </w:rPr>
  </w:style>
  <w:style w:styleId="Style_27" w:type="paragraph">
    <w:name w:val="footer"/>
    <w:basedOn w:val="Style_9"/>
    <w:link w:val="Style_27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7_ch" w:type="character">
    <w:name w:val="footer"/>
    <w:basedOn w:val="Style_9_ch"/>
    <w:link w:val="Style_27"/>
  </w:style>
  <w:style w:styleId="Style_28" w:type="paragraph">
    <w:name w:val="Знак концевой сноски1"/>
    <w:link w:val="Style_28_ch"/>
    <w:rPr>
      <w:vertAlign w:val="superscript"/>
    </w:rPr>
  </w:style>
  <w:style w:styleId="Style_28_ch" w:type="character">
    <w:name w:val="Знак концевой сноски1"/>
    <w:link w:val="Style_28"/>
    <w:rPr>
      <w:vertAlign w:val="superscript"/>
    </w:rPr>
  </w:style>
  <w:style w:styleId="Style_29" w:type="paragraph">
    <w:name w:val="Заголовок (user)"/>
    <w:basedOn w:val="Style_9"/>
    <w:next w:val="Style_17"/>
    <w:link w:val="Style_29_ch"/>
    <w:pPr>
      <w:keepNext w:val="1"/>
      <w:spacing w:after="120" w:before="240"/>
      <w:ind/>
    </w:pPr>
    <w:rPr>
      <w:rFonts w:ascii="Arial" w:hAnsi="Arial"/>
      <w:sz w:val="28"/>
    </w:rPr>
  </w:style>
  <w:style w:styleId="Style_29_ch" w:type="character">
    <w:name w:val="Заголовок (user)"/>
    <w:basedOn w:val="Style_9_ch"/>
    <w:link w:val="Style_29"/>
    <w:rPr>
      <w:rFonts w:ascii="Arial" w:hAnsi="Arial"/>
      <w:sz w:val="28"/>
    </w:rPr>
  </w:style>
  <w:style w:styleId="Style_30" w:type="paragraph">
    <w:name w:val="heading 5"/>
    <w:next w:val="Style_9"/>
    <w:link w:val="Style_3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30_ch" w:type="character">
    <w:name w:val="heading 5"/>
    <w:link w:val="Style_30"/>
    <w:rPr>
      <w:rFonts w:ascii="XO Thames" w:hAnsi="XO Thames"/>
      <w:b w:val="1"/>
    </w:rPr>
  </w:style>
  <w:style w:styleId="Style_6" w:type="paragraph">
    <w:name w:val="heading 1"/>
    <w:basedOn w:val="Style_9"/>
    <w:next w:val="Style_9"/>
    <w:link w:val="Style_6_ch"/>
    <w:uiPriority w:val="9"/>
    <w:qFormat/>
    <w:pPr>
      <w:spacing w:after="120"/>
      <w:ind/>
      <w:jc w:val="center"/>
      <w:outlineLvl w:val="0"/>
    </w:pPr>
    <w:rPr>
      <w:rFonts w:ascii="Times New Roman" w:hAnsi="Times New Roman"/>
      <w:b w:val="1"/>
      <w:sz w:val="28"/>
    </w:rPr>
  </w:style>
  <w:style w:styleId="Style_6_ch" w:type="character">
    <w:name w:val="heading 1"/>
    <w:basedOn w:val="Style_9_ch"/>
    <w:link w:val="Style_6"/>
    <w:rPr>
      <w:rFonts w:ascii="Times New Roman" w:hAnsi="Times New Roman"/>
      <w:b w:val="1"/>
      <w:sz w:val="28"/>
    </w:rPr>
  </w:style>
  <w:style w:styleId="Style_1" w:type="paragraph">
    <w:name w:val="header"/>
    <w:basedOn w:val="Style_9"/>
    <w:link w:val="Style_1_ch"/>
    <w:pPr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9_ch"/>
    <w:link w:val="Style_1"/>
  </w:style>
  <w:style w:styleId="Style_31" w:type="paragraph">
    <w:name w:val="Символ сноски"/>
    <w:link w:val="Style_31_ch"/>
    <w:rPr>
      <w:vertAlign w:val="superscript"/>
    </w:rPr>
  </w:style>
  <w:style w:styleId="Style_31_ch" w:type="character">
    <w:name w:val="Символ сноски"/>
    <w:link w:val="Style_31"/>
    <w:rPr>
      <w:vertAlign w:val="superscript"/>
    </w:rPr>
  </w:style>
  <w:style w:styleId="Style_32" w:type="paragraph">
    <w:name w:val="Hyperlink"/>
    <w:link w:val="Style_32_ch"/>
    <w:rPr>
      <w:color w:val="0000FF"/>
      <w:u w:val="single"/>
    </w:rPr>
  </w:style>
  <w:style w:styleId="Style_32_ch" w:type="character">
    <w:name w:val="Hyperlink"/>
    <w:link w:val="Style_32"/>
    <w:rPr>
      <w:color w:val="0000FF"/>
      <w:u w:val="single"/>
    </w:rPr>
  </w:style>
  <w:style w:styleId="Style_33" w:type="paragraph">
    <w:name w:val="Footnote"/>
    <w:basedOn w:val="Style_9"/>
    <w:link w:val="Style_33_ch"/>
    <w:pPr>
      <w:spacing w:after="0" w:line="240" w:lineRule="auto"/>
      <w:ind/>
    </w:pPr>
    <w:rPr>
      <w:rFonts w:ascii="Times New Roman" w:hAnsi="Times New Roman"/>
      <w:sz w:val="20"/>
    </w:rPr>
  </w:style>
  <w:style w:styleId="Style_33_ch" w:type="character">
    <w:name w:val="Footnote"/>
    <w:basedOn w:val="Style_9_ch"/>
    <w:link w:val="Style_33"/>
    <w:rPr>
      <w:rFonts w:ascii="Times New Roman" w:hAnsi="Times New Roman"/>
      <w:sz w:val="20"/>
    </w:rPr>
  </w:style>
  <w:style w:styleId="Style_3" w:type="paragraph">
    <w:name w:val="toc 1"/>
    <w:basedOn w:val="Style_9"/>
    <w:next w:val="Style_9"/>
    <w:link w:val="Style_3_ch"/>
    <w:uiPriority w:val="39"/>
    <w:pPr>
      <w:spacing w:after="100"/>
      <w:ind/>
    </w:pPr>
    <w:rPr>
      <w:rFonts w:ascii="Times New Roman" w:hAnsi="Times New Roman"/>
      <w:sz w:val="28"/>
    </w:rPr>
  </w:style>
  <w:style w:styleId="Style_3_ch" w:type="character">
    <w:name w:val="toc 1"/>
    <w:basedOn w:val="Style_9_ch"/>
    <w:link w:val="Style_3"/>
    <w:rPr>
      <w:rFonts w:ascii="Times New Roman" w:hAnsi="Times New Roman"/>
      <w:sz w:val="28"/>
    </w:rPr>
  </w:style>
  <w:style w:styleId="Style_10" w:type="paragraph">
    <w:name w:val="List Paragraph"/>
    <w:basedOn w:val="Style_9"/>
    <w:link w:val="Style_10_ch"/>
    <w:pPr>
      <w:ind w:firstLine="0" w:left="720"/>
      <w:contextualSpacing w:val="1"/>
    </w:pPr>
  </w:style>
  <w:style w:styleId="Style_10_ch" w:type="character">
    <w:name w:val="List Paragraph"/>
    <w:basedOn w:val="Style_9_ch"/>
    <w:link w:val="Style_10"/>
  </w:style>
  <w:style w:styleId="Style_34" w:type="paragraph">
    <w:name w:val="Header and Footer"/>
    <w:basedOn w:val="Style_9"/>
    <w:link w:val="Style_34_ch"/>
  </w:style>
  <w:style w:styleId="Style_34_ch" w:type="character">
    <w:name w:val="Header and Footer"/>
    <w:basedOn w:val="Style_9_ch"/>
    <w:link w:val="Style_34"/>
  </w:style>
  <w:style w:styleId="Style_35" w:type="paragraph">
    <w:name w:val="Основной шрифт абзаца1"/>
    <w:link w:val="Style_35_ch"/>
  </w:style>
  <w:style w:styleId="Style_35_ch" w:type="character">
    <w:name w:val="Основной шрифт абзаца1"/>
    <w:link w:val="Style_35"/>
  </w:style>
  <w:style w:styleId="Style_36" w:type="paragraph">
    <w:name w:val="Обычный1"/>
    <w:link w:val="Style_36_ch"/>
  </w:style>
  <w:style w:styleId="Style_36_ch" w:type="character">
    <w:name w:val="Обычный1"/>
    <w:link w:val="Style_36"/>
  </w:style>
  <w:style w:styleId="Style_37" w:type="paragraph">
    <w:name w:val="toc 9"/>
    <w:next w:val="Style_9"/>
    <w:link w:val="Style_37_ch"/>
    <w:uiPriority w:val="39"/>
    <w:pPr>
      <w:ind w:firstLine="0" w:left="1600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38" w:type="paragraph">
    <w:name w:val="annotation subject"/>
    <w:basedOn w:val="Style_39"/>
    <w:next w:val="Style_39"/>
    <w:link w:val="Style_38_ch"/>
    <w:rPr>
      <w:b w:val="1"/>
    </w:rPr>
  </w:style>
  <w:style w:styleId="Style_38_ch" w:type="character">
    <w:name w:val="annotation subject"/>
    <w:basedOn w:val="Style_39_ch"/>
    <w:link w:val="Style_38"/>
    <w:rPr>
      <w:b w:val="1"/>
    </w:rPr>
  </w:style>
  <w:style w:styleId="Style_40" w:type="paragraph">
    <w:name w:val="Заголовок 1 Знак"/>
    <w:basedOn w:val="Style_12"/>
    <w:link w:val="Style_40_ch"/>
    <w:rPr>
      <w:rFonts w:ascii="Times New Roman" w:hAnsi="Times New Roman"/>
      <w:b w:val="1"/>
      <w:sz w:val="28"/>
    </w:rPr>
  </w:style>
  <w:style w:styleId="Style_40_ch" w:type="character">
    <w:name w:val="Заголовок 1 Знак"/>
    <w:basedOn w:val="Style_12_ch"/>
    <w:link w:val="Style_40"/>
    <w:rPr>
      <w:rFonts w:ascii="Times New Roman" w:hAnsi="Times New Roman"/>
      <w:b w:val="1"/>
      <w:sz w:val="28"/>
    </w:rPr>
  </w:style>
  <w:style w:styleId="Style_41" w:type="paragraph">
    <w:name w:val="Гиперссылка1"/>
    <w:basedOn w:val="Style_35"/>
    <w:link w:val="Style_41_ch"/>
    <w:rPr>
      <w:color w:val="0000FF"/>
      <w:u w:val="single"/>
    </w:rPr>
  </w:style>
  <w:style w:styleId="Style_41_ch" w:type="character">
    <w:name w:val="Гиперссылка1"/>
    <w:basedOn w:val="Style_35_ch"/>
    <w:link w:val="Style_41"/>
    <w:rPr>
      <w:color w:val="0000FF"/>
      <w:u w:val="single"/>
    </w:rPr>
  </w:style>
  <w:style w:styleId="Style_42" w:type="paragraph">
    <w:name w:val="toc 8"/>
    <w:next w:val="Style_9"/>
    <w:link w:val="Style_42_ch"/>
    <w:uiPriority w:val="39"/>
    <w:pPr>
      <w:ind w:firstLine="0" w:left="1400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43" w:type="paragraph">
    <w:name w:val="Верхний колонтитул слева (user)"/>
    <w:basedOn w:val="Style_1"/>
    <w:link w:val="Style_43_ch"/>
  </w:style>
  <w:style w:styleId="Style_43_ch" w:type="character">
    <w:name w:val="Верхний колонтитул слева (user)"/>
    <w:basedOn w:val="Style_1_ch"/>
    <w:link w:val="Style_43"/>
  </w:style>
  <w:style w:styleId="Style_17" w:type="paragraph">
    <w:name w:val="Body Text"/>
    <w:basedOn w:val="Style_9"/>
    <w:link w:val="Style_17_ch"/>
    <w:pPr>
      <w:spacing w:after="140"/>
      <w:ind/>
    </w:pPr>
  </w:style>
  <w:style w:styleId="Style_17_ch" w:type="character">
    <w:name w:val="Body Text"/>
    <w:basedOn w:val="Style_9_ch"/>
    <w:link w:val="Style_17"/>
  </w:style>
  <w:style w:styleId="Style_44" w:type="paragraph">
    <w:name w:val="List"/>
    <w:basedOn w:val="Style_17"/>
    <w:link w:val="Style_44_ch"/>
  </w:style>
  <w:style w:styleId="Style_44_ch" w:type="character">
    <w:name w:val="List"/>
    <w:basedOn w:val="Style_17_ch"/>
    <w:link w:val="Style_44"/>
  </w:style>
  <w:style w:styleId="Style_45" w:type="paragraph">
    <w:name w:val="index heading"/>
    <w:basedOn w:val="Style_29"/>
    <w:link w:val="Style_45_ch"/>
  </w:style>
  <w:style w:styleId="Style_45_ch" w:type="character">
    <w:name w:val="index heading"/>
    <w:basedOn w:val="Style_29_ch"/>
    <w:link w:val="Style_45"/>
  </w:style>
  <w:style w:styleId="Style_46" w:type="paragraph">
    <w:name w:val="toc 5"/>
    <w:next w:val="Style_9"/>
    <w:link w:val="Style_46_ch"/>
    <w:uiPriority w:val="39"/>
    <w:pPr>
      <w:ind w:firstLine="0" w:left="800"/>
    </w:pPr>
    <w:rPr>
      <w:rFonts w:ascii="XO Thames" w:hAnsi="XO Thames"/>
      <w:sz w:val="28"/>
    </w:rPr>
  </w:style>
  <w:style w:styleId="Style_46_ch" w:type="character">
    <w:name w:val="toc 5"/>
    <w:link w:val="Style_46"/>
    <w:rPr>
      <w:rFonts w:ascii="XO Thames" w:hAnsi="XO Thames"/>
      <w:sz w:val="28"/>
    </w:rPr>
  </w:style>
  <w:style w:styleId="Style_47" w:type="paragraph">
    <w:name w:val="Символ концевой сноски"/>
    <w:link w:val="Style_47_ch"/>
    <w:rPr>
      <w:vertAlign w:val="superscript"/>
    </w:rPr>
  </w:style>
  <w:style w:styleId="Style_47_ch" w:type="character">
    <w:name w:val="Символ концевой сноски"/>
    <w:link w:val="Style_47"/>
    <w:rPr>
      <w:vertAlign w:val="superscript"/>
    </w:rPr>
  </w:style>
  <w:style w:styleId="Style_48" w:type="paragraph">
    <w:name w:val="Строгий1"/>
    <w:basedOn w:val="Style_35"/>
    <w:link w:val="Style_48_ch"/>
    <w:rPr>
      <w:b w:val="1"/>
    </w:rPr>
  </w:style>
  <w:style w:styleId="Style_48_ch" w:type="character">
    <w:name w:val="Строгий1"/>
    <w:basedOn w:val="Style_35_ch"/>
    <w:link w:val="Style_48"/>
    <w:rPr>
      <w:b w:val="1"/>
    </w:rPr>
  </w:style>
  <w:style w:styleId="Style_39" w:type="paragraph">
    <w:name w:val="annotation text"/>
    <w:basedOn w:val="Style_9"/>
    <w:link w:val="Style_39_ch"/>
    <w:pPr>
      <w:spacing w:line="240" w:lineRule="auto"/>
      <w:ind/>
    </w:pPr>
    <w:rPr>
      <w:sz w:val="20"/>
    </w:rPr>
  </w:style>
  <w:style w:styleId="Style_39_ch" w:type="character">
    <w:name w:val="annotation text"/>
    <w:basedOn w:val="Style_9_ch"/>
    <w:link w:val="Style_39"/>
    <w:rPr>
      <w:sz w:val="20"/>
    </w:rPr>
  </w:style>
  <w:style w:styleId="Style_49" w:type="paragraph">
    <w:name w:val="Знак примечания1"/>
    <w:basedOn w:val="Style_35"/>
    <w:link w:val="Style_49_ch"/>
    <w:rPr>
      <w:sz w:val="16"/>
    </w:rPr>
  </w:style>
  <w:style w:styleId="Style_49_ch" w:type="character">
    <w:name w:val="Знак примечания1"/>
    <w:basedOn w:val="Style_35_ch"/>
    <w:link w:val="Style_49"/>
    <w:rPr>
      <w:sz w:val="16"/>
    </w:rPr>
  </w:style>
  <w:style w:styleId="Style_50" w:type="paragraph">
    <w:name w:val="Subtitle"/>
    <w:next w:val="Style_9"/>
    <w:link w:val="Style_5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51" w:type="paragraph">
    <w:name w:val="Указатель (user)"/>
    <w:basedOn w:val="Style_9"/>
    <w:link w:val="Style_51_ch"/>
  </w:style>
  <w:style w:styleId="Style_51_ch" w:type="character">
    <w:name w:val="Указатель (user)"/>
    <w:basedOn w:val="Style_9_ch"/>
    <w:link w:val="Style_51"/>
  </w:style>
  <w:style w:styleId="Style_52" w:type="paragraph">
    <w:name w:val="Title"/>
    <w:next w:val="Style_9"/>
    <w:link w:val="Style_5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52_ch" w:type="character">
    <w:name w:val="Title"/>
    <w:link w:val="Style_52"/>
    <w:rPr>
      <w:rFonts w:ascii="XO Thames" w:hAnsi="XO Thames"/>
      <w:b w:val="1"/>
      <w:caps w:val="1"/>
      <w:sz w:val="40"/>
    </w:rPr>
  </w:style>
  <w:style w:styleId="Style_53" w:type="paragraph">
    <w:name w:val="heading 4"/>
    <w:next w:val="Style_9"/>
    <w:link w:val="Style_5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53_ch" w:type="character">
    <w:name w:val="heading 4"/>
    <w:link w:val="Style_53"/>
    <w:rPr>
      <w:rFonts w:ascii="XO Thames" w:hAnsi="XO Thames"/>
      <w:b w:val="1"/>
      <w:sz w:val="24"/>
    </w:rPr>
  </w:style>
  <w:style w:styleId="Style_54" w:type="paragraph">
    <w:name w:val="Balloon Text"/>
    <w:basedOn w:val="Style_9"/>
    <w:link w:val="Style_54_ch"/>
    <w:pPr>
      <w:spacing w:after="0" w:line="240" w:lineRule="auto"/>
      <w:ind/>
    </w:pPr>
    <w:rPr>
      <w:rFonts w:ascii="Tahoma" w:hAnsi="Tahoma"/>
      <w:sz w:val="16"/>
    </w:rPr>
  </w:style>
  <w:style w:styleId="Style_54_ch" w:type="character">
    <w:name w:val="Balloon Text"/>
    <w:basedOn w:val="Style_9_ch"/>
    <w:link w:val="Style_54"/>
    <w:rPr>
      <w:rFonts w:ascii="Tahoma" w:hAnsi="Tahoma"/>
      <w:sz w:val="16"/>
    </w:rPr>
  </w:style>
  <w:style w:styleId="Style_8" w:type="paragraph">
    <w:name w:val="heading 2"/>
    <w:basedOn w:val="Style_9"/>
    <w:next w:val="Style_9"/>
    <w:link w:val="Style_8_ch"/>
    <w:uiPriority w:val="9"/>
    <w:qFormat/>
    <w:pPr>
      <w:tabs>
        <w:tab w:leader="none" w:pos="1134" w:val="left"/>
      </w:tabs>
      <w:spacing w:after="0" w:before="200" w:line="240" w:lineRule="auto"/>
      <w:ind/>
      <w:jc w:val="center"/>
      <w:outlineLvl w:val="1"/>
    </w:pPr>
    <w:rPr>
      <w:rFonts w:ascii="Times New Roman" w:hAnsi="Times New Roman"/>
      <w:sz w:val="28"/>
      <w:highlight w:val="white"/>
    </w:rPr>
  </w:style>
  <w:style w:styleId="Style_8_ch" w:type="character">
    <w:name w:val="heading 2"/>
    <w:basedOn w:val="Style_9_ch"/>
    <w:link w:val="Style_8"/>
    <w:rPr>
      <w:rFonts w:ascii="Times New Roman" w:hAnsi="Times New Roman"/>
      <w:sz w:val="28"/>
      <w:highlight w:val="white"/>
    </w:rPr>
  </w:style>
  <w:style w:styleId="Style_55" w:type="paragraph">
    <w:name w:val="Normal (Web)"/>
    <w:basedOn w:val="Style_9"/>
    <w:link w:val="Style_55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55_ch" w:type="character">
    <w:name w:val="Normal (Web)"/>
    <w:basedOn w:val="Style_9_ch"/>
    <w:link w:val="Style_55"/>
    <w:rPr>
      <w:rFonts w:ascii="Times New Roman" w:hAnsi="Times New Roman"/>
      <w:sz w:val="24"/>
    </w:rPr>
  </w:style>
  <w:style w:styleId="Style_56" w:type="table">
    <w:name w:val="Сетка таблицы1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7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8" w:type="table">
    <w:name w:val="Сетка таблицы3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11" w:type="table">
    <w:name w:val="Сетка таблицы2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9" w:type="table">
    <w:name w:val="1"/>
    <w:basedOn w:val="Style_2"/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17" Target="webSettings.xml" Type="http://schemas.openxmlformats.org/officeDocument/2006/relationships/webSettings"/>
  <Relationship Id="rId7" Target="header7.xml" Type="http://schemas.openxmlformats.org/officeDocument/2006/relationships/header"/>
  <Relationship Id="rId6" Target="footer6.xml" Type="http://schemas.openxmlformats.org/officeDocument/2006/relationships/footer"/>
  <Relationship Id="rId14" Target="settings.xml" Type="http://schemas.openxmlformats.org/officeDocument/2006/relationships/settings"/>
  <Relationship Id="rId13" Target="fontTable.xml" Type="http://schemas.openxmlformats.org/officeDocument/2006/relationships/fontTable"/>
  <Relationship Id="rId18" Target="theme/theme1.xml" Type="http://schemas.openxmlformats.org/officeDocument/2006/relationships/theme"/>
  <Relationship Id="rId4" Target="footer4.xml" Type="http://schemas.openxmlformats.org/officeDocument/2006/relationships/footer"/>
  <Relationship Id="rId3" Target="header3.xml" Type="http://schemas.openxmlformats.org/officeDocument/2006/relationships/header"/>
  <Relationship Id="rId12" Target="media/2.jpeg" Type="http://schemas.openxmlformats.org/officeDocument/2006/relationships/image"/>
  <Relationship Id="rId10" Target="header10.xml" Type="http://schemas.openxmlformats.org/officeDocument/2006/relationships/header"/>
  <Relationship Id="rId19" Target="footnotes.xml" Type="http://schemas.openxmlformats.org/officeDocument/2006/relationships/footnotes"/>
  <Relationship Id="rId5" Target="header5.xml" Type="http://schemas.openxmlformats.org/officeDocument/2006/relationships/header"/>
  <Relationship Id="rId11" Target="media/1.jpeg" Type="http://schemas.openxmlformats.org/officeDocument/2006/relationships/image"/>
  <Relationship Id="rId8" Target="footer8.xml" Type="http://schemas.openxmlformats.org/officeDocument/2006/relationships/footer"/>
  <Relationship Id="rId16" Target="stylesWithEffects.xml" Type="http://schemas.microsoft.com/office/2007/relationships/stylesWithEffects"/>
  <Relationship Id="rId20" Target="endnotes.xml" Type="http://schemas.openxmlformats.org/officeDocument/2006/relationships/endnotes"/>
  <Relationship Id="rId2" Target="header2.xml" Type="http://schemas.openxmlformats.org/officeDocument/2006/relationships/header"/>
  <Relationship Id="rId21" Target="numbering.xml" Type="http://schemas.openxmlformats.org/officeDocument/2006/relationships/numbering"/>
  <Relationship Id="rId9" Target="footer9.xml" Type="http://schemas.openxmlformats.org/officeDocument/2006/relationships/footer"/>
  <Relationship Id="rId15" Target="styles.xml" Type="http://schemas.openxmlformats.org/officeDocument/2006/relationships/styles"/>
  <Relationship Id="rId1" Target="footer1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Аптека">
      <a:dk1>
        <a:srgbClr val="000000"/>
      </a:dk1>
      <a:lt1>
        <a:srgbClr val="FFFFFF"/>
      </a:lt1>
      <a:dk2>
        <a:srgbClr val="564B3C"/>
      </a:dk2>
      <a:lt2>
        <a:srgbClr val="ECEDD1"/>
      </a:lt2>
      <a:accent1>
        <a:srgbClr val="93A299"/>
      </a:accent1>
      <a:accent2>
        <a:srgbClr val="CF543F"/>
      </a:accent2>
      <a:accent3>
        <a:srgbClr val="B5AE53"/>
      </a:accent3>
      <a:accent4>
        <a:srgbClr val="848058"/>
      </a:accent4>
      <a:accent5>
        <a:srgbClr val="E8B54D"/>
      </a:accent5>
      <a:accent6>
        <a:srgbClr val="786C71"/>
      </a:accent6>
      <a:hlink>
        <a:srgbClr val="CCCC00"/>
      </a:hlink>
      <a:folHlink>
        <a:srgbClr val="B2B2B2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2026-07-23T08:09:47Z</dcterms:modified>
</cp:coreProperties>
</file>