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drawing>
          <wp:inline>
            <wp:extent cx="701675" cy="9144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701675" cy="9144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РОССИЙСКАЯ </w:t>
      </w:r>
      <w:r>
        <w:rPr>
          <w:rFonts w:ascii="Times New Roman" w:hAnsi="Times New Roman"/>
          <w:sz w:val="28"/>
        </w:rPr>
        <w:t xml:space="preserve">ФЕДЕРАЦИЯ 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РОСТОВСКАЯ </w:t>
      </w:r>
      <w:r>
        <w:rPr>
          <w:rFonts w:ascii="Times New Roman" w:hAnsi="Times New Roman"/>
          <w:sz w:val="28"/>
        </w:rPr>
        <w:t xml:space="preserve">ОБЛАСТЬ </w:t>
      </w:r>
    </w:p>
    <w:p w14:paraId="05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МУНИЦИПАЛЬНОЕ ОБРАЗОВАНИЕ «ОБЛИВСКИЙ РАЙОН» </w:t>
      </w:r>
    </w:p>
    <w:p w14:paraId="06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7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СОБРАНИЕ ДЕПУТАТОВ</w:t>
      </w:r>
      <w:r>
        <w:rPr>
          <w:rFonts w:ascii="Times New Roman" w:hAnsi="Times New Roman"/>
          <w:sz w:val="28"/>
        </w:rPr>
        <w:t xml:space="preserve"> ОБЛИВСКОГО</w:t>
      </w:r>
      <w:r>
        <w:rPr>
          <w:rFonts w:ascii="Times New Roman" w:hAnsi="Times New Roman"/>
          <w:sz w:val="28"/>
        </w:rPr>
        <w:t xml:space="preserve"> РАЙОНА </w:t>
      </w:r>
    </w:p>
    <w:p w14:paraId="08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9000000">
      <w:pPr>
        <w:tabs>
          <w:tab w:leader="none" w:pos="3969" w:val="left"/>
          <w:tab w:leader="none" w:pos="4395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</w:t>
      </w:r>
      <w:r>
        <w:rPr>
          <w:rFonts w:ascii="Times New Roman" w:hAnsi="Times New Roman"/>
          <w:sz w:val="28"/>
        </w:rPr>
        <w:t xml:space="preserve">Е </w:t>
      </w:r>
    </w:p>
    <w:p w14:paraId="0A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B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утве</w:t>
      </w:r>
      <w:r>
        <w:rPr>
          <w:rFonts w:ascii="Times New Roman" w:hAnsi="Times New Roman"/>
          <w:sz w:val="28"/>
        </w:rPr>
        <w:t xml:space="preserve">рждении Дизайн-кода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</w:t>
      </w:r>
      <w:r>
        <w:rPr>
          <w:rFonts w:ascii="Times New Roman" w:hAnsi="Times New Roman"/>
          <w:sz w:val="28"/>
        </w:rPr>
        <w:t xml:space="preserve">ипального района по размещению </w:t>
      </w:r>
      <w:r>
        <w:rPr>
          <w:rFonts w:ascii="Times New Roman" w:hAnsi="Times New Roman"/>
          <w:sz w:val="28"/>
        </w:rPr>
        <w:t>нестационарных торговых объектов</w:t>
      </w:r>
    </w:p>
    <w:p w14:paraId="0C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0D000000">
      <w:pPr>
        <w:spacing w:after="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Принято </w:t>
      </w:r>
    </w:p>
    <w:p w14:paraId="0E000000">
      <w:pPr>
        <w:spacing w:after="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Собранием депутатов                                                                  09</w:t>
      </w:r>
      <w:r>
        <w:rPr>
          <w:rFonts w:ascii="Times New Roman" w:hAnsi="Times New Roman"/>
          <w:color w:val="000000"/>
          <w:sz w:val="28"/>
        </w:rPr>
        <w:t>.12</w:t>
      </w:r>
      <w:r>
        <w:rPr>
          <w:rFonts w:ascii="Times New Roman" w:hAnsi="Times New Roman"/>
          <w:color w:val="000000"/>
          <w:sz w:val="28"/>
        </w:rPr>
        <w:t>.2025 года</w:t>
      </w:r>
    </w:p>
    <w:p w14:paraId="0F000000">
      <w:pPr>
        <w:spacing w:after="0" w:line="240" w:lineRule="auto"/>
        <w:ind/>
        <w:rPr>
          <w:rFonts w:ascii="Times New Roman" w:hAnsi="Times New Roman"/>
          <w:color w:val="000000"/>
          <w:sz w:val="28"/>
        </w:rPr>
      </w:pPr>
    </w:p>
    <w:p w14:paraId="1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Руководствуясь</w:t>
      </w:r>
      <w:r>
        <w:rPr>
          <w:rFonts w:ascii="Times New Roman" w:hAnsi="Times New Roman"/>
          <w:sz w:val="28"/>
        </w:rPr>
        <w:t xml:space="preserve"> Федеральным законом от 06.10.2003 № 131-ФЗ «Об общих принципах организации местного самоупра</w:t>
      </w:r>
      <w:r>
        <w:rPr>
          <w:rFonts w:ascii="Times New Roman" w:hAnsi="Times New Roman"/>
          <w:sz w:val="28"/>
        </w:rPr>
        <w:t>вления в Российской Федерации»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постановлением Правительства Ростовской области от 18.09.2015 № 583 «О некоторых</w:t>
      </w:r>
      <w:r>
        <w:rPr>
          <w:rFonts w:ascii="Times New Roman" w:hAnsi="Times New Roman"/>
          <w:sz w:val="28"/>
        </w:rPr>
        <w:t xml:space="preserve"> вопросах, связанных с размещением нестационарных торговых объектов на землях или земельных участках, находящихся в муниципальной собственности, а также на землях или земельных участках, государственная собственно</w:t>
      </w:r>
      <w:r>
        <w:rPr>
          <w:rFonts w:ascii="Times New Roman" w:hAnsi="Times New Roman"/>
          <w:sz w:val="28"/>
        </w:rPr>
        <w:t xml:space="preserve">сть на которые не разграничена», </w:t>
      </w:r>
      <w:r>
        <w:rPr>
          <w:rFonts w:ascii="Times New Roman" w:hAnsi="Times New Roman"/>
          <w:sz w:val="28"/>
        </w:rPr>
        <w:t>в целях формирования благоприятной архитектурной среды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методическими рекомендациями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 разраб</w:t>
      </w:r>
      <w:r>
        <w:rPr>
          <w:rFonts w:ascii="Times New Roman" w:hAnsi="Times New Roman"/>
          <w:sz w:val="28"/>
        </w:rPr>
        <w:t xml:space="preserve">отке требований к внешнему виду </w:t>
      </w:r>
      <w:r>
        <w:rPr>
          <w:rFonts w:ascii="Times New Roman" w:hAnsi="Times New Roman"/>
          <w:sz w:val="28"/>
        </w:rPr>
        <w:t>нестационарных торговых объектов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Собрание депутатов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</w:t>
      </w:r>
    </w:p>
    <w:p w14:paraId="1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12000000">
      <w:pPr>
        <w:spacing w:after="0" w:line="240" w:lineRule="auto"/>
        <w:ind w:firstLine="709" w:left="0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sz w:val="28"/>
        </w:rPr>
        <w:t xml:space="preserve">                                              </w:t>
      </w:r>
      <w:r>
        <w:rPr>
          <w:rFonts w:ascii="Times New Roman" w:hAnsi="Times New Roman"/>
          <w:sz w:val="28"/>
        </w:rPr>
        <w:t>РЕШИЛО:</w:t>
      </w:r>
    </w:p>
    <w:p w14:paraId="13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4000000">
      <w:pPr>
        <w:tabs>
          <w:tab w:leader="none" w:pos="0" w:val="left"/>
          <w:tab w:leader="none" w:pos="1134" w:val="left"/>
        </w:tabs>
        <w:spacing w:after="0" w:line="240" w:lineRule="auto"/>
        <w:ind w:firstLine="709" w:left="0" w:right="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Утвердить Дизайн-код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района по размещению нестационарных торговых объектов (дале</w:t>
      </w:r>
      <w:r>
        <w:rPr>
          <w:rFonts w:ascii="Times New Roman" w:hAnsi="Times New Roman"/>
          <w:sz w:val="28"/>
        </w:rPr>
        <w:t>е – НТО) согласно приложению</w:t>
      </w:r>
      <w:r>
        <w:rPr>
          <w:rFonts w:ascii="Times New Roman" w:hAnsi="Times New Roman"/>
          <w:sz w:val="28"/>
        </w:rPr>
        <w:t>.</w:t>
      </w:r>
    </w:p>
    <w:p w14:paraId="15000000">
      <w:pPr>
        <w:tabs>
          <w:tab w:leader="none" w:pos="0" w:val="left"/>
          <w:tab w:leader="none" w:pos="851" w:val="left"/>
        </w:tabs>
        <w:spacing w:after="0" w:line="240" w:lineRule="auto"/>
        <w:ind w:firstLine="709" w:left="0" w:right="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Требования Дизайн-кода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района по размещению НТО (далее – Дизайн-код) обязательны для исполнения всеми собственниками НТО, расположенных на муниципальных земельных участках и участках, государственная собственность на которые не разграничена</w:t>
      </w:r>
      <w:r>
        <w:rPr>
          <w:rFonts w:ascii="Times New Roman" w:hAnsi="Times New Roman"/>
          <w:sz w:val="28"/>
        </w:rPr>
        <w:t>, и рекомендованы для собственников НТО, расположенных на земельных участках, находящихся в частной собственности.</w:t>
      </w:r>
    </w:p>
    <w:p w14:paraId="16000000">
      <w:pPr>
        <w:tabs>
          <w:tab w:leader="none" w:pos="0" w:val="left"/>
          <w:tab w:leader="none" w:pos="1134" w:val="left"/>
        </w:tabs>
        <w:spacing w:after="0" w:line="240" w:lineRule="auto"/>
        <w:ind w:firstLine="709" w:left="0" w:right="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Требования Дизайн-кода не распространяются на отношения, связанные с размещением НТО при проведении праздничных, общественно-</w:t>
      </w:r>
      <w:r>
        <w:rPr>
          <w:rFonts w:ascii="Times New Roman" w:hAnsi="Times New Roman"/>
          <w:sz w:val="28"/>
        </w:rPr>
        <w:t xml:space="preserve">политических, культурно-массовых и спортивно-массовых мероприятий, имеющих краткосрочный характер. </w:t>
      </w:r>
    </w:p>
    <w:p w14:paraId="1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Настоящее решение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подлежит официальному опубликованию и вступает в законную силу с даты официального опубликования. </w:t>
      </w:r>
    </w:p>
    <w:p w14:paraId="18000000">
      <w:pPr>
        <w:tabs>
          <w:tab w:leader="none" w:pos="2385" w:val="left"/>
        </w:tabs>
        <w:spacing w:after="0" w:line="240" w:lineRule="auto"/>
        <w:ind w:right="57"/>
        <w:jc w:val="both"/>
        <w:rPr>
          <w:rFonts w:ascii="Times New Roman" w:hAnsi="Times New Roman"/>
          <w:color w:val="FF0000"/>
          <w:sz w:val="28"/>
        </w:rPr>
      </w:pPr>
    </w:p>
    <w:p w14:paraId="19000000">
      <w:pPr>
        <w:tabs>
          <w:tab w:leader="none" w:pos="2385" w:val="left"/>
        </w:tabs>
        <w:spacing w:after="0" w:line="240" w:lineRule="auto"/>
        <w:ind w:right="57"/>
        <w:jc w:val="both"/>
        <w:rPr>
          <w:rFonts w:ascii="Times New Roman" w:hAnsi="Times New Roman"/>
          <w:color w:val="FF0000"/>
          <w:sz w:val="28"/>
        </w:rPr>
      </w:pPr>
    </w:p>
    <w:p w14:paraId="1A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Председательствующий на Собрании депутатов,</w:t>
      </w:r>
    </w:p>
    <w:p w14:paraId="1B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председателя Собрания депутатов –</w:t>
      </w:r>
    </w:p>
    <w:p w14:paraId="1C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лавы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М.Н. Андреенков</w:t>
      </w:r>
    </w:p>
    <w:p w14:paraId="1D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1E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1F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20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21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22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23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24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25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26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27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28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29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2A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2B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2C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2D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2E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2F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30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31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32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33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34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35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36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37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38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39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3A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3B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3C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3D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3E000000">
      <w:pPr>
        <w:spacing w:after="0" w:line="240" w:lineRule="auto"/>
        <w:ind/>
        <w:jc w:val="both"/>
        <w:outlineLvl w:val="2"/>
        <w:rPr>
          <w:rFonts w:ascii="Times New Roman" w:hAnsi="Times New Roman"/>
          <w:sz w:val="28"/>
        </w:rPr>
      </w:pPr>
    </w:p>
    <w:p w14:paraId="3F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09.12</w:t>
      </w:r>
      <w:r>
        <w:rPr>
          <w:rFonts w:ascii="Times New Roman" w:hAnsi="Times New Roman"/>
          <w:sz w:val="28"/>
        </w:rPr>
        <w:t>.2025 года</w:t>
      </w:r>
    </w:p>
    <w:p w14:paraId="40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№ 200</w:t>
      </w:r>
    </w:p>
    <w:p w14:paraId="41000000">
      <w:pPr>
        <w:spacing w:after="0" w:line="240" w:lineRule="auto"/>
        <w:ind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                                                                                   </w:t>
      </w:r>
    </w:p>
    <w:p w14:paraId="42000000">
      <w:pPr>
        <w:spacing w:after="0" w:line="240" w:lineRule="auto"/>
        <w:ind/>
        <w:jc w:val="right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                                             </w:t>
      </w:r>
      <w:r>
        <w:rPr>
          <w:rFonts w:ascii="Times New Roman CYR" w:hAnsi="Times New Roman CYR"/>
          <w:sz w:val="28"/>
        </w:rPr>
        <w:t xml:space="preserve">Приложение </w:t>
      </w:r>
    </w:p>
    <w:p w14:paraId="43000000">
      <w:pPr>
        <w:spacing w:after="0" w:line="240" w:lineRule="auto"/>
        <w:ind/>
        <w:jc w:val="right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  к решению Собрания депутатов</w:t>
      </w:r>
      <w:r>
        <w:rPr>
          <w:rFonts w:ascii="Times New Roman CYR" w:hAnsi="Times New Roman CYR"/>
          <w:sz w:val="28"/>
        </w:rPr>
        <w:t xml:space="preserve">    </w:t>
      </w:r>
    </w:p>
    <w:p w14:paraId="44000000">
      <w:pPr>
        <w:spacing w:after="0" w:line="240" w:lineRule="auto"/>
        <w:ind/>
        <w:jc w:val="right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                                                                                    </w:t>
      </w:r>
      <w:r>
        <w:rPr>
          <w:rFonts w:ascii="Times New Roman CYR" w:hAnsi="Times New Roman CYR"/>
          <w:sz w:val="28"/>
        </w:rPr>
        <w:t>Обливского</w:t>
      </w:r>
      <w:r>
        <w:rPr>
          <w:rFonts w:ascii="Times New Roman CYR" w:hAnsi="Times New Roman CYR"/>
          <w:sz w:val="28"/>
        </w:rPr>
        <w:t xml:space="preserve"> района</w:t>
      </w:r>
    </w:p>
    <w:p w14:paraId="45000000">
      <w:pPr>
        <w:spacing w:after="0" w:line="240" w:lineRule="auto"/>
        <w:ind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                                                                                   </w:t>
      </w:r>
      <w:r>
        <w:rPr>
          <w:rFonts w:ascii="Times New Roman CYR" w:hAnsi="Times New Roman CYR"/>
          <w:sz w:val="28"/>
        </w:rPr>
        <w:t>от __</w:t>
      </w:r>
      <w:r>
        <w:rPr>
          <w:rFonts w:ascii="Times New Roman CYR" w:hAnsi="Times New Roman CYR"/>
          <w:sz w:val="28"/>
        </w:rPr>
        <w:t>_</w:t>
      </w:r>
      <w:r>
        <w:rPr>
          <w:rFonts w:ascii="Times New Roman CYR" w:hAnsi="Times New Roman CYR"/>
          <w:sz w:val="28"/>
        </w:rPr>
        <w:t>._</w:t>
      </w:r>
      <w:r>
        <w:rPr>
          <w:rFonts w:ascii="Times New Roman CYR" w:hAnsi="Times New Roman CYR"/>
          <w:sz w:val="28"/>
        </w:rPr>
        <w:t>_</w:t>
      </w:r>
      <w:r>
        <w:rPr>
          <w:rFonts w:ascii="Times New Roman CYR" w:hAnsi="Times New Roman CYR"/>
          <w:sz w:val="28"/>
        </w:rPr>
        <w:t>_</w:t>
      </w:r>
      <w:r>
        <w:rPr>
          <w:rFonts w:ascii="Times New Roman CYR" w:hAnsi="Times New Roman CYR"/>
          <w:sz w:val="28"/>
        </w:rPr>
        <w:t>.</w:t>
      </w:r>
      <w:r>
        <w:rPr>
          <w:rFonts w:ascii="Times New Roman CYR" w:hAnsi="Times New Roman CYR"/>
          <w:sz w:val="28"/>
        </w:rPr>
        <w:t>2025</w:t>
      </w:r>
      <w:r>
        <w:rPr>
          <w:rFonts w:ascii="Times New Roman CYR" w:hAnsi="Times New Roman CYR"/>
          <w:sz w:val="28"/>
        </w:rPr>
        <w:t xml:space="preserve"> </w:t>
      </w:r>
      <w:r>
        <w:rPr>
          <w:rFonts w:ascii="Times New Roman CYR" w:hAnsi="Times New Roman CYR"/>
          <w:sz w:val="28"/>
        </w:rPr>
        <w:t>№ ____</w:t>
      </w:r>
    </w:p>
    <w:p w14:paraId="46000000">
      <w:pPr>
        <w:spacing w:after="0" w:line="240" w:lineRule="auto"/>
        <w:ind/>
        <w:jc w:val="right"/>
        <w:rPr>
          <w:rFonts w:ascii="Times New Roman CYR" w:hAnsi="Times New Roman CYR"/>
          <w:sz w:val="28"/>
        </w:rPr>
      </w:pPr>
    </w:p>
    <w:p w14:paraId="47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Дизайн-код по размещению нестационарных торговых объектов (НТО)</w:t>
      </w:r>
    </w:p>
    <w:p w14:paraId="48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на территории </w:t>
      </w:r>
      <w:r>
        <w:rPr>
          <w:rFonts w:ascii="Times New Roman" w:hAnsi="Times New Roman"/>
          <w:b w:val="1"/>
          <w:color w:val="000000"/>
          <w:sz w:val="28"/>
        </w:rPr>
        <w:t>Обливского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района </w:t>
      </w:r>
    </w:p>
    <w:p w14:paraId="4900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4A000000">
      <w:pPr>
        <w:widowControl w:val="0"/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1. Требования</w:t>
      </w:r>
      <w:r>
        <w:rPr>
          <w:rFonts w:ascii="Times New Roman" w:hAnsi="Times New Roman"/>
          <w:b w:val="1"/>
          <w:sz w:val="28"/>
        </w:rPr>
        <w:t xml:space="preserve"> к оформлению внешнего вида НТО</w:t>
      </w:r>
    </w:p>
    <w:p w14:paraId="4B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</w:p>
    <w:p w14:paraId="4C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Настоящие требования к внешнему виду нестационарных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торговых объектов разработаны в целях фо</w:t>
      </w:r>
      <w:r>
        <w:rPr>
          <w:rFonts w:ascii="Times New Roman" w:hAnsi="Times New Roman"/>
          <w:sz w:val="28"/>
        </w:rPr>
        <w:t xml:space="preserve">рмирования комфортной городской </w:t>
      </w:r>
      <w:r>
        <w:rPr>
          <w:rFonts w:ascii="Times New Roman" w:hAnsi="Times New Roman"/>
          <w:sz w:val="28"/>
        </w:rPr>
        <w:t>среды путем создания единого художеств</w:t>
      </w:r>
      <w:r>
        <w:rPr>
          <w:rFonts w:ascii="Times New Roman" w:hAnsi="Times New Roman"/>
          <w:sz w:val="28"/>
        </w:rPr>
        <w:t xml:space="preserve">енно-стилистического оформления </w:t>
      </w:r>
      <w:r>
        <w:rPr>
          <w:rFonts w:ascii="Times New Roman" w:hAnsi="Times New Roman"/>
          <w:sz w:val="28"/>
        </w:rPr>
        <w:t>городской среды и устанавливают един</w:t>
      </w:r>
      <w:r>
        <w:rPr>
          <w:rFonts w:ascii="Times New Roman" w:hAnsi="Times New Roman"/>
          <w:sz w:val="28"/>
        </w:rPr>
        <w:t xml:space="preserve">ые требования к внешнему облику </w:t>
      </w:r>
      <w:r>
        <w:rPr>
          <w:rFonts w:ascii="Times New Roman" w:hAnsi="Times New Roman"/>
          <w:sz w:val="28"/>
        </w:rPr>
        <w:t>нестационарных торговых объектов на территории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района.</w:t>
      </w:r>
    </w:p>
    <w:p w14:paraId="4D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Нестационарные торговые объекты </w:t>
      </w:r>
      <w:r>
        <w:rPr>
          <w:rFonts w:ascii="Times New Roman" w:hAnsi="Times New Roman"/>
          <w:sz w:val="28"/>
        </w:rPr>
        <w:t xml:space="preserve">должны содержаться в технически </w:t>
      </w:r>
      <w:r>
        <w:rPr>
          <w:rFonts w:ascii="Times New Roman" w:hAnsi="Times New Roman"/>
          <w:sz w:val="28"/>
        </w:rPr>
        <w:t>исправном состоянии. В случае необхо</w:t>
      </w:r>
      <w:r>
        <w:rPr>
          <w:rFonts w:ascii="Times New Roman" w:hAnsi="Times New Roman"/>
          <w:sz w:val="28"/>
        </w:rPr>
        <w:t xml:space="preserve">димости осуществления ремонтных </w:t>
      </w:r>
      <w:r>
        <w:rPr>
          <w:rFonts w:ascii="Times New Roman" w:hAnsi="Times New Roman"/>
          <w:sz w:val="28"/>
        </w:rPr>
        <w:t>работ, такие работы должны осуществляться с учетом с</w:t>
      </w:r>
      <w:r>
        <w:rPr>
          <w:rFonts w:ascii="Times New Roman" w:hAnsi="Times New Roman"/>
          <w:sz w:val="28"/>
        </w:rPr>
        <w:t xml:space="preserve">охранения внешнего вида </w:t>
      </w:r>
      <w:r>
        <w:rPr>
          <w:rFonts w:ascii="Times New Roman" w:hAnsi="Times New Roman"/>
          <w:sz w:val="28"/>
        </w:rPr>
        <w:t>и цветового решения нестационарного торгового объекта.</w:t>
      </w:r>
    </w:p>
    <w:p w14:paraId="4E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оформлении нестационарных</w:t>
      </w:r>
      <w:r>
        <w:rPr>
          <w:rFonts w:ascii="Times New Roman" w:hAnsi="Times New Roman"/>
          <w:sz w:val="28"/>
        </w:rPr>
        <w:t xml:space="preserve"> торговых объектов используются </w:t>
      </w:r>
      <w:r>
        <w:rPr>
          <w:rFonts w:ascii="Times New Roman" w:hAnsi="Times New Roman"/>
          <w:sz w:val="28"/>
        </w:rPr>
        <w:t>следующие виды вывесок:</w:t>
      </w:r>
    </w:p>
    <w:p w14:paraId="4F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Основная вывеска – в</w:t>
      </w:r>
      <w:r>
        <w:rPr>
          <w:rFonts w:ascii="Times New Roman" w:hAnsi="Times New Roman"/>
          <w:sz w:val="28"/>
        </w:rPr>
        <w:t xml:space="preserve">ывеска, расположенная на фасаде </w:t>
      </w:r>
      <w:r>
        <w:rPr>
          <w:rFonts w:ascii="Times New Roman" w:hAnsi="Times New Roman"/>
          <w:sz w:val="28"/>
        </w:rPr>
        <w:t>нестационарного торгового объекта, с</w:t>
      </w:r>
      <w:r>
        <w:rPr>
          <w:rFonts w:ascii="Times New Roman" w:hAnsi="Times New Roman"/>
          <w:sz w:val="28"/>
        </w:rPr>
        <w:t xml:space="preserve">одержащая наименование объекта, </w:t>
      </w:r>
      <w:r>
        <w:rPr>
          <w:rFonts w:ascii="Times New Roman" w:hAnsi="Times New Roman"/>
          <w:sz w:val="28"/>
        </w:rPr>
        <w:t>а также декоративно-художественные элементы (</w:t>
      </w:r>
      <w:r>
        <w:rPr>
          <w:rFonts w:ascii="Times New Roman" w:hAnsi="Times New Roman"/>
          <w:sz w:val="28"/>
        </w:rPr>
        <w:t xml:space="preserve">логотип, товарный знак и т.д.), </w:t>
      </w:r>
      <w:r>
        <w:rPr>
          <w:rFonts w:ascii="Times New Roman" w:hAnsi="Times New Roman"/>
          <w:sz w:val="28"/>
        </w:rPr>
        <w:t>позволяющие определить вид реализуемой продукции.</w:t>
      </w:r>
    </w:p>
    <w:p w14:paraId="50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Основная вывеска может быть в</w:t>
      </w:r>
      <w:r>
        <w:rPr>
          <w:rFonts w:ascii="Times New Roman" w:hAnsi="Times New Roman"/>
          <w:sz w:val="28"/>
        </w:rPr>
        <w:t xml:space="preserve">ыполнена в объемном или плоском </w:t>
      </w:r>
      <w:r>
        <w:rPr>
          <w:rFonts w:ascii="Times New Roman" w:hAnsi="Times New Roman"/>
          <w:sz w:val="28"/>
        </w:rPr>
        <w:t>варианте и состоять из отдельных букв и знако</w:t>
      </w:r>
      <w:r>
        <w:rPr>
          <w:rFonts w:ascii="Times New Roman" w:hAnsi="Times New Roman"/>
          <w:sz w:val="28"/>
        </w:rPr>
        <w:t xml:space="preserve">в, закрепленных непосредственно </w:t>
      </w:r>
      <w:r>
        <w:rPr>
          <w:rFonts w:ascii="Times New Roman" w:hAnsi="Times New Roman"/>
          <w:sz w:val="28"/>
        </w:rPr>
        <w:t>на фасаде либо на жестком основании.</w:t>
      </w:r>
    </w:p>
    <w:p w14:paraId="51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Основная вывеска может иметь внутреннюю подсветку.</w:t>
      </w:r>
    </w:p>
    <w:p w14:paraId="52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Основная вывеска для торговых павиль</w:t>
      </w:r>
      <w:r>
        <w:rPr>
          <w:rFonts w:ascii="Times New Roman" w:hAnsi="Times New Roman"/>
          <w:sz w:val="28"/>
        </w:rPr>
        <w:t xml:space="preserve">онов и киосков размещается выше </w:t>
      </w:r>
      <w:r>
        <w:rPr>
          <w:rFonts w:ascii="Times New Roman" w:hAnsi="Times New Roman"/>
          <w:sz w:val="28"/>
        </w:rPr>
        <w:t xml:space="preserve">остекления или над входной частью. При </w:t>
      </w:r>
      <w:r>
        <w:rPr>
          <w:rFonts w:ascii="Times New Roman" w:hAnsi="Times New Roman"/>
          <w:sz w:val="28"/>
        </w:rPr>
        <w:t xml:space="preserve">этом декоративно-художественный </w:t>
      </w:r>
      <w:r>
        <w:rPr>
          <w:rFonts w:ascii="Times New Roman" w:hAnsi="Times New Roman"/>
          <w:sz w:val="28"/>
        </w:rPr>
        <w:t>элемент на указанных видах объектов</w:t>
      </w:r>
      <w:r>
        <w:rPr>
          <w:rFonts w:ascii="Times New Roman" w:hAnsi="Times New Roman"/>
          <w:sz w:val="28"/>
        </w:rPr>
        <w:t xml:space="preserve"> может размещаться на доступном </w:t>
      </w:r>
      <w:r>
        <w:rPr>
          <w:rFonts w:ascii="Times New Roman" w:hAnsi="Times New Roman"/>
          <w:sz w:val="28"/>
        </w:rPr>
        <w:t>для обозрения месте, в том числе н</w:t>
      </w:r>
      <w:r>
        <w:rPr>
          <w:rFonts w:ascii="Times New Roman" w:hAnsi="Times New Roman"/>
          <w:sz w:val="28"/>
        </w:rPr>
        <w:t xml:space="preserve">а свето-прозрачных конструкциях </w:t>
      </w:r>
      <w:r>
        <w:rPr>
          <w:rFonts w:ascii="Times New Roman" w:hAnsi="Times New Roman"/>
          <w:sz w:val="28"/>
        </w:rPr>
        <w:t>(окна, витрины, иное остекление), но не более 20% от</w:t>
      </w:r>
      <w:r>
        <w:rPr>
          <w:rFonts w:ascii="Times New Roman" w:hAnsi="Times New Roman"/>
          <w:sz w:val="28"/>
        </w:rPr>
        <w:t xml:space="preserve"> площади таких </w:t>
      </w:r>
      <w:r>
        <w:rPr>
          <w:rFonts w:ascii="Times New Roman" w:hAnsi="Times New Roman"/>
          <w:sz w:val="28"/>
        </w:rPr>
        <w:t>конструкций.</w:t>
      </w:r>
    </w:p>
    <w:p w14:paraId="53000000">
      <w:pPr>
        <w:widowControl w:val="0"/>
        <w:tabs>
          <w:tab w:leader="none" w:pos="1560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Информационная табличка – </w:t>
      </w:r>
      <w:r>
        <w:rPr>
          <w:rFonts w:ascii="Times New Roman" w:hAnsi="Times New Roman"/>
          <w:sz w:val="28"/>
        </w:rPr>
        <w:t xml:space="preserve">плоскостная вывеска, содержащая </w:t>
      </w:r>
      <w:r>
        <w:rPr>
          <w:rFonts w:ascii="Times New Roman" w:hAnsi="Times New Roman"/>
          <w:sz w:val="28"/>
        </w:rPr>
        <w:t>информацию о наименовании организации</w:t>
      </w:r>
      <w:r>
        <w:rPr>
          <w:rFonts w:ascii="Times New Roman" w:hAnsi="Times New Roman"/>
          <w:sz w:val="28"/>
        </w:rPr>
        <w:t xml:space="preserve"> или сведения об индивидуальном </w:t>
      </w:r>
      <w:r>
        <w:rPr>
          <w:rFonts w:ascii="Times New Roman" w:hAnsi="Times New Roman"/>
          <w:sz w:val="28"/>
        </w:rPr>
        <w:t>предпринимателе, месте нахождения (адресе)</w:t>
      </w:r>
      <w:r>
        <w:rPr>
          <w:rFonts w:ascii="Times New Roman" w:hAnsi="Times New Roman"/>
          <w:sz w:val="28"/>
        </w:rPr>
        <w:t xml:space="preserve">, режиме работы нестационарного </w:t>
      </w:r>
      <w:r>
        <w:rPr>
          <w:rFonts w:ascii="Times New Roman" w:hAnsi="Times New Roman"/>
          <w:sz w:val="28"/>
        </w:rPr>
        <w:t>торгового объекта, порядкового номера в со</w:t>
      </w:r>
      <w:r>
        <w:rPr>
          <w:rFonts w:ascii="Times New Roman" w:hAnsi="Times New Roman"/>
          <w:sz w:val="28"/>
        </w:rPr>
        <w:t xml:space="preserve">ответствии со схемой размещения </w:t>
      </w:r>
      <w:r>
        <w:rPr>
          <w:rFonts w:ascii="Times New Roman" w:hAnsi="Times New Roman"/>
          <w:sz w:val="28"/>
        </w:rPr>
        <w:t>нестационарных торговых объектов (с указание</w:t>
      </w:r>
      <w:r>
        <w:rPr>
          <w:rFonts w:ascii="Times New Roman" w:hAnsi="Times New Roman"/>
          <w:sz w:val="28"/>
        </w:rPr>
        <w:t xml:space="preserve">м правового акта, которым такая </w:t>
      </w:r>
      <w:r>
        <w:rPr>
          <w:rFonts w:ascii="Times New Roman" w:hAnsi="Times New Roman"/>
          <w:sz w:val="28"/>
        </w:rPr>
        <w:t>схема утверждена).</w:t>
      </w:r>
    </w:p>
    <w:p w14:paraId="54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Информационная табличка обязательна для размещения на всех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нестационарных торговых объектах.</w:t>
      </w:r>
    </w:p>
    <w:p w14:paraId="55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Информационная табличка размеща</w:t>
      </w:r>
      <w:r>
        <w:rPr>
          <w:rFonts w:ascii="Times New Roman" w:hAnsi="Times New Roman"/>
          <w:sz w:val="28"/>
        </w:rPr>
        <w:t xml:space="preserve">ется на доступном для обозрения </w:t>
      </w:r>
      <w:r>
        <w:rPr>
          <w:rFonts w:ascii="Times New Roman" w:hAnsi="Times New Roman"/>
          <w:sz w:val="28"/>
        </w:rPr>
        <w:t>месте на фасаде нестационарного торгового объ</w:t>
      </w:r>
      <w:r>
        <w:rPr>
          <w:rFonts w:ascii="Times New Roman" w:hAnsi="Times New Roman"/>
          <w:sz w:val="28"/>
        </w:rPr>
        <w:t xml:space="preserve">екта, для торговых павильонов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sz w:val="28"/>
        </w:rPr>
        <w:t>непосредственно у входа или на входной двери.</w:t>
      </w:r>
    </w:p>
    <w:p w14:paraId="56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Информационная табличка должна сос</w:t>
      </w:r>
      <w:r>
        <w:rPr>
          <w:rFonts w:ascii="Times New Roman" w:hAnsi="Times New Roman"/>
          <w:sz w:val="28"/>
        </w:rPr>
        <w:t xml:space="preserve">тоять только из текстовой части </w:t>
      </w:r>
      <w:r>
        <w:rPr>
          <w:rFonts w:ascii="Times New Roman" w:hAnsi="Times New Roman"/>
          <w:sz w:val="28"/>
        </w:rPr>
        <w:t>и не превышать предельные размеры – 0,5 м на 0,7 м.</w:t>
      </w:r>
    </w:p>
    <w:p w14:paraId="57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невозможности размещения на </w:t>
      </w:r>
      <w:r>
        <w:rPr>
          <w:rFonts w:ascii="Times New Roman" w:hAnsi="Times New Roman"/>
          <w:sz w:val="28"/>
        </w:rPr>
        <w:t xml:space="preserve">фасаде (за исключением торговых </w:t>
      </w:r>
      <w:r>
        <w:rPr>
          <w:rFonts w:ascii="Times New Roman" w:hAnsi="Times New Roman"/>
          <w:sz w:val="28"/>
        </w:rPr>
        <w:t>павильонов) информационная т</w:t>
      </w:r>
      <w:r>
        <w:rPr>
          <w:rFonts w:ascii="Times New Roman" w:hAnsi="Times New Roman"/>
          <w:sz w:val="28"/>
        </w:rPr>
        <w:t xml:space="preserve">абличка размещается в доступном </w:t>
      </w:r>
      <w:r>
        <w:rPr>
          <w:rFonts w:ascii="Times New Roman" w:hAnsi="Times New Roman"/>
          <w:sz w:val="28"/>
        </w:rPr>
        <w:t>для восприятия месте.</w:t>
      </w:r>
    </w:p>
    <w:p w14:paraId="58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торговых тележках, торговой палат</w:t>
      </w:r>
      <w:r>
        <w:rPr>
          <w:rFonts w:ascii="Times New Roman" w:hAnsi="Times New Roman"/>
          <w:sz w:val="28"/>
        </w:rPr>
        <w:t xml:space="preserve">ке, лотках, иных нестационарных </w:t>
      </w:r>
      <w:r>
        <w:rPr>
          <w:rFonts w:ascii="Times New Roman" w:hAnsi="Times New Roman"/>
          <w:sz w:val="28"/>
        </w:rPr>
        <w:t>торговых объектах сезонного характера р</w:t>
      </w:r>
      <w:r>
        <w:rPr>
          <w:rFonts w:ascii="Times New Roman" w:hAnsi="Times New Roman"/>
          <w:sz w:val="28"/>
        </w:rPr>
        <w:t xml:space="preserve">екомендуется размещать основную </w:t>
      </w:r>
      <w:r>
        <w:rPr>
          <w:rFonts w:ascii="Times New Roman" w:hAnsi="Times New Roman"/>
          <w:sz w:val="28"/>
        </w:rPr>
        <w:t>вывеску.</w:t>
      </w:r>
    </w:p>
    <w:p w14:paraId="59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отсутствии возможно</w:t>
      </w:r>
      <w:r>
        <w:rPr>
          <w:rFonts w:ascii="Times New Roman" w:hAnsi="Times New Roman"/>
          <w:sz w:val="28"/>
        </w:rPr>
        <w:t xml:space="preserve">сти размещения основной вывески </w:t>
      </w:r>
      <w:r>
        <w:rPr>
          <w:rFonts w:ascii="Times New Roman" w:hAnsi="Times New Roman"/>
          <w:sz w:val="28"/>
        </w:rPr>
        <w:t>в объемном или плоском варианте на н</w:t>
      </w:r>
      <w:r>
        <w:rPr>
          <w:rFonts w:ascii="Times New Roman" w:hAnsi="Times New Roman"/>
          <w:sz w:val="28"/>
        </w:rPr>
        <w:t xml:space="preserve">естационарных торговых объектах </w:t>
      </w:r>
      <w:r>
        <w:rPr>
          <w:rFonts w:ascii="Times New Roman" w:hAnsi="Times New Roman"/>
          <w:sz w:val="28"/>
        </w:rPr>
        <w:t>на базе транспортных средств, торговом автом</w:t>
      </w:r>
      <w:r>
        <w:rPr>
          <w:rFonts w:ascii="Times New Roman" w:hAnsi="Times New Roman"/>
          <w:sz w:val="28"/>
        </w:rPr>
        <w:t xml:space="preserve">ате, на нестационарных объектах </w:t>
      </w:r>
      <w:r>
        <w:rPr>
          <w:rFonts w:ascii="Times New Roman" w:hAnsi="Times New Roman"/>
          <w:sz w:val="28"/>
        </w:rPr>
        <w:t>сезонного характера должна быть четкая н</w:t>
      </w:r>
      <w:r>
        <w:rPr>
          <w:rFonts w:ascii="Times New Roman" w:hAnsi="Times New Roman"/>
          <w:sz w:val="28"/>
        </w:rPr>
        <w:t xml:space="preserve">адпись или трафарет, содержащие </w:t>
      </w:r>
      <w:r>
        <w:rPr>
          <w:rFonts w:ascii="Times New Roman" w:hAnsi="Times New Roman"/>
          <w:sz w:val="28"/>
        </w:rPr>
        <w:t>сведения об организации или индивидуальном предпринимателе.</w:t>
      </w:r>
    </w:p>
    <w:p w14:paraId="5A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 На свето-прозрачных конструкциях нестациона</w:t>
      </w:r>
      <w:r>
        <w:rPr>
          <w:rFonts w:ascii="Times New Roman" w:hAnsi="Times New Roman"/>
          <w:sz w:val="28"/>
        </w:rPr>
        <w:t xml:space="preserve">рных торговых </w:t>
      </w:r>
      <w:r>
        <w:rPr>
          <w:rFonts w:ascii="Times New Roman" w:hAnsi="Times New Roman"/>
          <w:sz w:val="28"/>
        </w:rPr>
        <w:t>объектов возможно размещение переч</w:t>
      </w:r>
      <w:r>
        <w:rPr>
          <w:rFonts w:ascii="Times New Roman" w:hAnsi="Times New Roman"/>
          <w:sz w:val="28"/>
        </w:rPr>
        <w:t xml:space="preserve">ня ассортимента, при этом также </w:t>
      </w:r>
      <w:r>
        <w:rPr>
          <w:rFonts w:ascii="Times New Roman" w:hAnsi="Times New Roman"/>
          <w:sz w:val="28"/>
        </w:rPr>
        <w:t>допустимо оклеивание пленкой с монохромной или цветной печатью.</w:t>
      </w:r>
    </w:p>
    <w:p w14:paraId="5B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5C000000">
      <w:pPr>
        <w:spacing w:after="0" w:line="240" w:lineRule="auto"/>
        <w:ind w:firstLine="0" w:left="1110"/>
        <w:jc w:val="center"/>
        <w:rPr>
          <w:rFonts w:ascii="Times New Roman" w:hAnsi="Times New Roman"/>
          <w:color w:val="000000"/>
          <w:sz w:val="23"/>
        </w:rPr>
      </w:pPr>
      <w:r>
        <w:rPr>
          <w:rFonts w:ascii="Times New Roman" w:hAnsi="Times New Roman"/>
          <w:b w:val="1"/>
          <w:color w:val="000000"/>
          <w:sz w:val="28"/>
        </w:rPr>
        <w:t>2</w:t>
      </w:r>
      <w:r>
        <w:rPr>
          <w:rFonts w:ascii="Times New Roman" w:hAnsi="Times New Roman"/>
          <w:b w:val="1"/>
          <w:color w:val="000000"/>
          <w:sz w:val="28"/>
        </w:rPr>
        <w:t>.  Материа</w:t>
      </w:r>
      <w:r>
        <w:rPr>
          <w:rFonts w:ascii="Times New Roman" w:hAnsi="Times New Roman"/>
          <w:b w:val="1"/>
          <w:color w:val="000000"/>
          <w:sz w:val="28"/>
        </w:rPr>
        <w:t>лы и цвета для изготовления НТО</w:t>
      </w:r>
    </w:p>
    <w:p w14:paraId="5D000000">
      <w:pPr>
        <w:spacing w:after="0" w:line="240" w:lineRule="auto"/>
        <w:ind w:firstLine="0" w:left="1110"/>
        <w:jc w:val="center"/>
        <w:rPr>
          <w:rFonts w:ascii="Times New Roman" w:hAnsi="Times New Roman"/>
          <w:color w:val="000000"/>
          <w:sz w:val="23"/>
        </w:rPr>
      </w:pPr>
    </w:p>
    <w:p w14:paraId="5E000000">
      <w:pPr>
        <w:spacing w:after="0" w:line="240" w:lineRule="auto"/>
        <w:ind w:firstLine="709" w:left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2.1 </w:t>
      </w:r>
      <w:r>
        <w:rPr>
          <w:rFonts w:ascii="Times New Roman" w:hAnsi="Times New Roman"/>
          <w:b w:val="1"/>
          <w:color w:val="000000"/>
          <w:sz w:val="28"/>
        </w:rPr>
        <w:t xml:space="preserve">Киоск </w:t>
      </w:r>
    </w:p>
    <w:p w14:paraId="5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Гладкий металлический лист: </w:t>
      </w:r>
    </w:p>
    <w:p w14:paraId="60000000">
      <w:pPr>
        <w:spacing w:after="44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не комбинировать при отделке листы разных цветов; </w:t>
      </w:r>
    </w:p>
    <w:p w14:paraId="61000000">
      <w:pPr>
        <w:spacing w:after="44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рекомендуется использовать листы с матовым покрытием; </w:t>
      </w:r>
    </w:p>
    <w:p w14:paraId="62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использовать</w:t>
      </w:r>
      <w:r>
        <w:rPr>
          <w:rFonts w:ascii="Times New Roman" w:hAnsi="Times New Roman"/>
          <w:color w:val="000000"/>
          <w:sz w:val="28"/>
        </w:rPr>
        <w:t xml:space="preserve"> преимущественно</w:t>
      </w:r>
      <w:r>
        <w:rPr>
          <w:rFonts w:ascii="Times New Roman" w:hAnsi="Times New Roman"/>
          <w:color w:val="000000"/>
          <w:sz w:val="28"/>
        </w:rPr>
        <w:t xml:space="preserve"> монохромные цвета для основной отдел</w:t>
      </w:r>
      <w:r>
        <w:rPr>
          <w:rFonts w:ascii="Times New Roman" w:hAnsi="Times New Roman"/>
          <w:color w:val="000000"/>
          <w:sz w:val="28"/>
        </w:rPr>
        <w:t xml:space="preserve">ки (серый, оливковый, коричневый, </w:t>
      </w:r>
      <w:r>
        <w:rPr>
          <w:rFonts w:ascii="Times New Roman" w:hAnsi="Times New Roman"/>
          <w:color w:val="000000"/>
          <w:sz w:val="28"/>
        </w:rPr>
        <w:t xml:space="preserve">бежевый). </w:t>
      </w:r>
    </w:p>
    <w:p w14:paraId="63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Дополнительные детали (вывески, маркизы, прилавки) могут быть выполнены в ярких цветах. </w:t>
      </w:r>
    </w:p>
    <w:p w14:paraId="64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Фасадные панели: </w:t>
      </w:r>
    </w:p>
    <w:p w14:paraId="65000000">
      <w:pPr>
        <w:spacing w:after="47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допускается предусматривать комбинацию с другими материалами: доска, HPL-панели; </w:t>
      </w:r>
    </w:p>
    <w:p w14:paraId="66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преимущественно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монохромные цвета для основной отделки (</w:t>
      </w:r>
      <w:r>
        <w:rPr>
          <w:rFonts w:ascii="Times New Roman" w:hAnsi="Times New Roman"/>
          <w:color w:val="000000"/>
          <w:sz w:val="28"/>
        </w:rPr>
        <w:t xml:space="preserve">серый, оливковый, коричневый, </w:t>
      </w:r>
      <w:r>
        <w:rPr>
          <w:rFonts w:ascii="Times New Roman" w:hAnsi="Times New Roman"/>
          <w:color w:val="000000"/>
          <w:sz w:val="28"/>
        </w:rPr>
        <w:t>бежевый</w:t>
      </w:r>
      <w:r>
        <w:rPr>
          <w:rFonts w:ascii="Times New Roman" w:hAnsi="Times New Roman"/>
          <w:color w:val="000000"/>
          <w:sz w:val="28"/>
        </w:rPr>
        <w:t xml:space="preserve">). </w:t>
      </w:r>
    </w:p>
    <w:p w14:paraId="67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Дополнительные детали (вывески, маркизы, прилавки) могут быть выполнены в ярких цветах. </w:t>
      </w:r>
    </w:p>
    <w:p w14:paraId="6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Деревянные рейки: </w:t>
      </w:r>
    </w:p>
    <w:p w14:paraId="69000000">
      <w:pPr>
        <w:spacing w:after="45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использовать строганые рейки толщиной не менее 30 мм; </w:t>
      </w:r>
    </w:p>
    <w:p w14:paraId="6A000000">
      <w:pPr>
        <w:spacing w:after="45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покрывать бесцветным защитным средством для дерева; </w:t>
      </w:r>
    </w:p>
    <w:p w14:paraId="6B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допускается предусматривать комбинацию с другими материалами: HPL-панели, графитная доска для нанесения надписи мелом.</w:t>
      </w:r>
    </w:p>
    <w:p w14:paraId="6C000000">
      <w:pPr>
        <w:spacing w:after="0" w:line="240" w:lineRule="auto"/>
        <w:ind w:firstLine="709" w:left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</w:t>
      </w:r>
      <w:r>
        <w:rPr>
          <w:rFonts w:ascii="Times New Roman" w:hAnsi="Times New Roman"/>
          <w:b w:val="1"/>
          <w:color w:val="000000"/>
          <w:sz w:val="28"/>
        </w:rPr>
        <w:t>.2</w:t>
      </w:r>
      <w:r>
        <w:rPr>
          <w:rFonts w:ascii="Times New Roman" w:hAnsi="Times New Roman"/>
          <w:b w:val="1"/>
          <w:color w:val="000000"/>
          <w:sz w:val="28"/>
        </w:rPr>
        <w:t xml:space="preserve"> Павильон </w:t>
      </w:r>
    </w:p>
    <w:p w14:paraId="6D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Гладкий металлический лист: </w:t>
      </w:r>
    </w:p>
    <w:p w14:paraId="6E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не комбинировать при отделке листы разных цветов; </w:t>
      </w:r>
    </w:p>
    <w:p w14:paraId="6F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рекомендуется использовать листы с матовым покрытием; </w:t>
      </w:r>
    </w:p>
    <w:p w14:paraId="70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преимущественно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монохромные цвета для основной отделки (</w:t>
      </w:r>
      <w:r>
        <w:rPr>
          <w:rFonts w:ascii="Times New Roman" w:hAnsi="Times New Roman"/>
          <w:color w:val="000000"/>
          <w:sz w:val="28"/>
        </w:rPr>
        <w:t xml:space="preserve">серый, оливковый, коричневый, </w:t>
      </w:r>
      <w:r>
        <w:rPr>
          <w:rFonts w:ascii="Times New Roman" w:hAnsi="Times New Roman"/>
          <w:color w:val="000000"/>
          <w:sz w:val="28"/>
        </w:rPr>
        <w:t>бежевый</w:t>
      </w:r>
      <w:r>
        <w:rPr>
          <w:rFonts w:ascii="Times New Roman" w:hAnsi="Times New Roman"/>
          <w:color w:val="000000"/>
          <w:sz w:val="28"/>
        </w:rPr>
        <w:t xml:space="preserve">). </w:t>
      </w:r>
    </w:p>
    <w:p w14:paraId="71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Дополнительные детали (вывески, маркизы, прилавки) могут быть выполнены в ярких цветах. </w:t>
      </w:r>
    </w:p>
    <w:p w14:paraId="72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Фасадные панели: </w:t>
      </w:r>
    </w:p>
    <w:p w14:paraId="73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допускается предусматривать комбинацию с другими материалами: доска, HPL-панели; </w:t>
      </w:r>
    </w:p>
    <w:p w14:paraId="74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преимущественно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монохромные цвета для основной отделки (</w:t>
      </w:r>
      <w:r>
        <w:rPr>
          <w:rFonts w:ascii="Times New Roman" w:hAnsi="Times New Roman"/>
          <w:color w:val="000000"/>
          <w:sz w:val="28"/>
        </w:rPr>
        <w:t xml:space="preserve">серый, оливковый, коричневый, </w:t>
      </w:r>
      <w:r>
        <w:rPr>
          <w:rFonts w:ascii="Times New Roman" w:hAnsi="Times New Roman"/>
          <w:color w:val="000000"/>
          <w:sz w:val="28"/>
        </w:rPr>
        <w:t>бежевый</w:t>
      </w:r>
      <w:r>
        <w:rPr>
          <w:rFonts w:ascii="Times New Roman" w:hAnsi="Times New Roman"/>
          <w:color w:val="000000"/>
          <w:sz w:val="28"/>
        </w:rPr>
        <w:t xml:space="preserve">). </w:t>
      </w:r>
    </w:p>
    <w:p w14:paraId="75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Дополнительные детали (вывески, маркизы, прилавки) могут быть выполнены в ярких цветах. </w:t>
      </w:r>
    </w:p>
    <w:p w14:paraId="76000000">
      <w:pPr>
        <w:spacing w:after="0" w:line="240" w:lineRule="auto"/>
        <w:ind w:firstLine="709" w:left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</w:t>
      </w:r>
      <w:r>
        <w:rPr>
          <w:rFonts w:ascii="Times New Roman" w:hAnsi="Times New Roman"/>
          <w:b w:val="1"/>
          <w:color w:val="000000"/>
          <w:sz w:val="28"/>
        </w:rPr>
        <w:t>.3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Вендинговый</w:t>
      </w:r>
      <w:r>
        <w:rPr>
          <w:rFonts w:ascii="Times New Roman" w:hAnsi="Times New Roman"/>
          <w:b w:val="1"/>
          <w:color w:val="000000"/>
          <w:sz w:val="28"/>
        </w:rPr>
        <w:t xml:space="preserve"> автомат </w:t>
      </w:r>
    </w:p>
    <w:p w14:paraId="77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Гладкий металлический лист: </w:t>
      </w:r>
    </w:p>
    <w:p w14:paraId="78000000">
      <w:pPr>
        <w:spacing w:after="44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не комбинировать при отделке листы разных цветов; </w:t>
      </w:r>
    </w:p>
    <w:p w14:paraId="79000000">
      <w:pPr>
        <w:spacing w:after="44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рекомендуется использовать листы с матовым покрытием; </w:t>
      </w:r>
    </w:p>
    <w:p w14:paraId="7A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использовать монохромные цвета для основной отделки в зависимости от специфики торговли. </w:t>
      </w:r>
    </w:p>
    <w:p w14:paraId="7B000000">
      <w:pPr>
        <w:spacing w:after="0" w:line="240" w:lineRule="auto"/>
        <w:ind w:firstLine="709" w:left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</w:t>
      </w:r>
      <w:r>
        <w:rPr>
          <w:rFonts w:ascii="Times New Roman" w:hAnsi="Times New Roman"/>
          <w:b w:val="1"/>
          <w:color w:val="000000"/>
          <w:sz w:val="28"/>
        </w:rPr>
        <w:t>.4</w:t>
      </w:r>
      <w:r>
        <w:rPr>
          <w:rFonts w:ascii="Times New Roman" w:hAnsi="Times New Roman"/>
          <w:b w:val="1"/>
          <w:color w:val="000000"/>
          <w:sz w:val="28"/>
        </w:rPr>
        <w:t xml:space="preserve"> Торговая палатка </w:t>
      </w:r>
    </w:p>
    <w:p w14:paraId="7C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Каркасно-тентовый объект: </w:t>
      </w:r>
    </w:p>
    <w:p w14:paraId="7D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преимущественно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монохромные цвета для основной отделки (</w:t>
      </w:r>
      <w:r>
        <w:rPr>
          <w:rFonts w:ascii="Times New Roman" w:hAnsi="Times New Roman"/>
          <w:color w:val="000000"/>
          <w:sz w:val="28"/>
        </w:rPr>
        <w:t xml:space="preserve">серый, оливковый, коричневый, </w:t>
      </w:r>
      <w:r>
        <w:rPr>
          <w:rFonts w:ascii="Times New Roman" w:hAnsi="Times New Roman"/>
          <w:color w:val="000000"/>
          <w:sz w:val="28"/>
        </w:rPr>
        <w:t>бежевый</w:t>
      </w:r>
      <w:r>
        <w:rPr>
          <w:rFonts w:ascii="Times New Roman" w:hAnsi="Times New Roman"/>
          <w:color w:val="000000"/>
          <w:sz w:val="28"/>
        </w:rPr>
        <w:t xml:space="preserve">). </w:t>
      </w:r>
    </w:p>
    <w:p w14:paraId="7E000000">
      <w:pPr>
        <w:spacing w:after="0" w:line="240" w:lineRule="auto"/>
        <w:ind w:firstLine="709" w:left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</w:t>
      </w:r>
      <w:r>
        <w:rPr>
          <w:rFonts w:ascii="Times New Roman" w:hAnsi="Times New Roman"/>
          <w:b w:val="1"/>
          <w:color w:val="000000"/>
          <w:sz w:val="28"/>
        </w:rPr>
        <w:t>.5</w:t>
      </w:r>
      <w:r>
        <w:rPr>
          <w:rFonts w:ascii="Times New Roman" w:hAnsi="Times New Roman"/>
          <w:b w:val="1"/>
          <w:color w:val="000000"/>
          <w:sz w:val="28"/>
        </w:rPr>
        <w:t xml:space="preserve"> Торговая тележка </w:t>
      </w:r>
    </w:p>
    <w:p w14:paraId="7F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Гладкий металлический лист: </w:t>
      </w:r>
    </w:p>
    <w:p w14:paraId="80000000">
      <w:pPr>
        <w:spacing w:after="47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не комбинировать при отделке листы разных цветов; </w:t>
      </w:r>
    </w:p>
    <w:p w14:paraId="81000000">
      <w:pPr>
        <w:spacing w:after="47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рекомендуется использовать панели с матовым покрытием; </w:t>
      </w:r>
    </w:p>
    <w:p w14:paraId="82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рекомендуется использовать монохромные цвета для основной отделки. </w:t>
      </w:r>
    </w:p>
    <w:p w14:paraId="83000000">
      <w:pPr>
        <w:spacing w:after="0" w:line="240" w:lineRule="auto"/>
        <w:ind w:firstLine="709" w:left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</w:t>
      </w:r>
      <w:r>
        <w:rPr>
          <w:rFonts w:ascii="Times New Roman" w:hAnsi="Times New Roman"/>
          <w:b w:val="1"/>
          <w:color w:val="000000"/>
          <w:sz w:val="28"/>
        </w:rPr>
        <w:t>.6</w:t>
      </w:r>
      <w:r>
        <w:rPr>
          <w:rFonts w:ascii="Times New Roman" w:hAnsi="Times New Roman"/>
          <w:b w:val="1"/>
          <w:color w:val="000000"/>
          <w:sz w:val="28"/>
        </w:rPr>
        <w:t xml:space="preserve"> Бахчевой развал </w:t>
      </w:r>
    </w:p>
    <w:p w14:paraId="84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Деревянные рейки: </w:t>
      </w:r>
    </w:p>
    <w:p w14:paraId="85000000">
      <w:pPr>
        <w:spacing w:after="44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использовать строганые рейки толщиной не менее 30 мм; </w:t>
      </w:r>
    </w:p>
    <w:p w14:paraId="86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покрывать бесцветным защитным средством для дерева. </w:t>
      </w:r>
    </w:p>
    <w:p w14:paraId="87000000">
      <w:pPr>
        <w:spacing w:after="0" w:line="240" w:lineRule="auto"/>
        <w:ind w:firstLine="709" w:left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</w:t>
      </w:r>
      <w:r>
        <w:rPr>
          <w:rFonts w:ascii="Times New Roman" w:hAnsi="Times New Roman"/>
          <w:b w:val="1"/>
          <w:color w:val="000000"/>
          <w:sz w:val="28"/>
        </w:rPr>
        <w:t>.7</w:t>
      </w:r>
      <w:r>
        <w:rPr>
          <w:rFonts w:ascii="Times New Roman" w:hAnsi="Times New Roman"/>
          <w:b w:val="1"/>
          <w:color w:val="000000"/>
          <w:sz w:val="28"/>
        </w:rPr>
        <w:t xml:space="preserve"> Сезонное (летнее) кафе </w:t>
      </w:r>
    </w:p>
    <w:p w14:paraId="8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Элементы оборудования сезонных (летних) кафе, примыкающих к стационарным объектам общественного питания: </w:t>
      </w:r>
    </w:p>
    <w:p w14:paraId="89000000">
      <w:pPr>
        <w:spacing w:after="47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сборно</w:t>
      </w:r>
      <w:r>
        <w:rPr>
          <w:rFonts w:ascii="Cambria Math" w:hAnsi="Cambria Math"/>
          <w:color w:val="000000"/>
          <w:sz w:val="28"/>
        </w:rPr>
        <w:t>‐</w:t>
      </w:r>
      <w:r>
        <w:rPr>
          <w:rFonts w:ascii="Times New Roman" w:hAnsi="Times New Roman"/>
          <w:color w:val="000000"/>
          <w:sz w:val="28"/>
        </w:rPr>
        <w:t xml:space="preserve">разборные (легковозводимые) конструкции из дерева, металла, стекла, композитных материалов; </w:t>
      </w:r>
    </w:p>
    <w:p w14:paraId="8A000000">
      <w:pPr>
        <w:spacing w:after="47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рекомендуется использовать монохромные цвета для основной отделки; </w:t>
      </w:r>
    </w:p>
    <w:p w14:paraId="8B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дополнительные элементы могут быть выполнены в ярких цветах. </w:t>
      </w:r>
    </w:p>
    <w:p w14:paraId="8C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отдельно стоящих сезонных (летних) кафе применяются материалы, предусмотренные для киосков и павильонов.</w:t>
      </w:r>
    </w:p>
    <w:p w14:paraId="8D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bookmarkStart w:id="1" w:name="_GoBack"/>
      <w:bookmarkEnd w:id="1"/>
    </w:p>
    <w:sectPr>
      <w:pgSz w:h="16838" w:orient="portrait" w:w="11906"/>
      <w:pgMar w:bottom="1134" w:footer="709" w:gutter="0" w:header="709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200" w:line="276" w:lineRule="auto"/>
      <w:ind/>
    </w:pPr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List Paragraph"/>
    <w:basedOn w:val="Style_1"/>
    <w:link w:val="Style_3_ch"/>
    <w:pPr>
      <w:ind w:firstLine="0" w:left="720"/>
      <w:contextualSpacing w:val="1"/>
    </w:pPr>
  </w:style>
  <w:style w:styleId="Style_3_ch" w:type="character">
    <w:name w:val="List Paragraph"/>
    <w:basedOn w:val="Style_1_ch"/>
    <w:link w:val="Style_3"/>
  </w:style>
  <w:style w:styleId="Style_4" w:type="paragraph">
    <w:name w:val="toc 4"/>
    <w:next w:val="Style_1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next w:val="Style_1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next w:val="Style_1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8_ch" w:type="character">
    <w:name w:val="heading 3"/>
    <w:link w:val="Style_8"/>
    <w:rPr>
      <w:rFonts w:ascii="XO Thames" w:hAnsi="XO Thames"/>
      <w:b w:val="1"/>
      <w:i w:val="1"/>
      <w:color w:val="000000"/>
    </w:rPr>
  </w:style>
  <w:style w:styleId="Style_9" w:type="paragraph">
    <w:name w:val="s_37"/>
    <w:basedOn w:val="Style_10"/>
    <w:link w:val="Style_9_ch"/>
  </w:style>
  <w:style w:styleId="Style_9_ch" w:type="character">
    <w:name w:val="s_37"/>
    <w:basedOn w:val="Style_10_ch"/>
    <w:link w:val="Style_9"/>
  </w:style>
  <w:style w:styleId="Style_11" w:type="paragraph">
    <w:name w:val="toc 10"/>
    <w:next w:val="Style_1"/>
    <w:link w:val="Style_11_ch"/>
    <w:pPr>
      <w:ind w:firstLine="0" w:left="1800"/>
    </w:pPr>
  </w:style>
  <w:style w:styleId="Style_11_ch" w:type="character">
    <w:name w:val="toc 10"/>
    <w:link w:val="Style_11"/>
  </w:style>
  <w:style w:styleId="Style_12" w:type="paragraph">
    <w:name w:val="Balloon Text"/>
    <w:basedOn w:val="Style_1"/>
    <w:link w:val="Style_12_ch"/>
    <w:pPr>
      <w:spacing w:after="0" w:line="240" w:lineRule="auto"/>
      <w:ind/>
    </w:pPr>
    <w:rPr>
      <w:rFonts w:ascii="Tahoma" w:hAnsi="Tahoma"/>
      <w:sz w:val="16"/>
    </w:rPr>
  </w:style>
  <w:style w:styleId="Style_12_ch" w:type="character">
    <w:name w:val="Balloon Text"/>
    <w:basedOn w:val="Style_1_ch"/>
    <w:link w:val="Style_12"/>
    <w:rPr>
      <w:rFonts w:ascii="Tahoma" w:hAnsi="Tahoma"/>
      <w:sz w:val="16"/>
    </w:rPr>
  </w:style>
  <w:style w:styleId="Style_13" w:type="paragraph">
    <w:name w:val="Таблицы (моноширинный)"/>
    <w:basedOn w:val="Style_1"/>
    <w:next w:val="Style_1"/>
    <w:link w:val="Style_13_ch"/>
    <w:pPr>
      <w:widowControl w:val="0"/>
      <w:spacing w:after="0" w:line="240" w:lineRule="auto"/>
      <w:ind/>
    </w:pPr>
    <w:rPr>
      <w:rFonts w:ascii="Courier New" w:hAnsi="Courier New"/>
      <w:sz w:val="24"/>
    </w:rPr>
  </w:style>
  <w:style w:styleId="Style_13_ch" w:type="character">
    <w:name w:val="Таблицы (моноширинный)"/>
    <w:basedOn w:val="Style_1_ch"/>
    <w:link w:val="Style_13"/>
    <w:rPr>
      <w:rFonts w:ascii="Courier New" w:hAnsi="Courier New"/>
      <w:sz w:val="24"/>
    </w:rPr>
  </w:style>
  <w:style w:styleId="Style_14" w:type="paragraph">
    <w:name w:val="toc 3"/>
    <w:next w:val="Style_1"/>
    <w:link w:val="Style_14_ch"/>
    <w:uiPriority w:val="39"/>
    <w:pPr>
      <w:ind w:firstLine="0" w:left="400"/>
    </w:pPr>
  </w:style>
  <w:style w:styleId="Style_14_ch" w:type="character">
    <w:name w:val="toc 3"/>
    <w:link w:val="Style_14"/>
  </w:style>
  <w:style w:styleId="Style_15" w:type="paragraph">
    <w:name w:val="Default"/>
    <w:link w:val="Style_15_ch"/>
    <w:pPr>
      <w:spacing w:after="0" w:line="240" w:lineRule="auto"/>
      <w:ind/>
    </w:pPr>
    <w:rPr>
      <w:rFonts w:ascii="Times New Roman" w:hAnsi="Times New Roman"/>
      <w:color w:val="000000"/>
      <w:sz w:val="24"/>
    </w:rPr>
  </w:style>
  <w:style w:styleId="Style_15_ch" w:type="character">
    <w:name w:val="Default"/>
    <w:link w:val="Style_15"/>
    <w:rPr>
      <w:rFonts w:ascii="Times New Roman" w:hAnsi="Times New Roman"/>
      <w:color w:val="000000"/>
      <w:sz w:val="24"/>
    </w:rPr>
  </w:style>
  <w:style w:styleId="Style_16" w:type="paragraph">
    <w:name w:val="s_1"/>
    <w:basedOn w:val="Style_1"/>
    <w:link w:val="Style_16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6_ch" w:type="character">
    <w:name w:val="s_1"/>
    <w:basedOn w:val="Style_1_ch"/>
    <w:link w:val="Style_16"/>
    <w:rPr>
      <w:rFonts w:ascii="Times New Roman" w:hAnsi="Times New Roman"/>
      <w:sz w:val="24"/>
    </w:rPr>
  </w:style>
  <w:style w:styleId="Style_17" w:type="paragraph">
    <w:name w:val="empty"/>
    <w:basedOn w:val="Style_1"/>
    <w:link w:val="Style_17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7_ch" w:type="character">
    <w:name w:val="empty"/>
    <w:basedOn w:val="Style_1_ch"/>
    <w:link w:val="Style_17"/>
    <w:rPr>
      <w:rFonts w:ascii="Times New Roman" w:hAnsi="Times New Roman"/>
      <w:sz w:val="24"/>
    </w:rPr>
  </w:style>
  <w:style w:styleId="Style_18" w:type="paragraph">
    <w:name w:val="heading 5"/>
    <w:next w:val="Style_1"/>
    <w:link w:val="Style_1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8_ch" w:type="character">
    <w:name w:val="heading 5"/>
    <w:link w:val="Style_18"/>
    <w:rPr>
      <w:rFonts w:ascii="XO Thames" w:hAnsi="XO Thames"/>
      <w:b w:val="1"/>
      <w:color w:val="000000"/>
      <w:sz w:val="22"/>
    </w:rPr>
  </w:style>
  <w:style w:styleId="Style_19" w:type="paragraph">
    <w:name w:val="Нормальный (таблица)"/>
    <w:basedOn w:val="Style_1"/>
    <w:next w:val="Style_1"/>
    <w:link w:val="Style_19_ch"/>
    <w:pPr>
      <w:widowControl w:val="0"/>
      <w:spacing w:after="0" w:line="240" w:lineRule="auto"/>
      <w:ind/>
      <w:jc w:val="both"/>
    </w:pPr>
    <w:rPr>
      <w:rFonts w:ascii="Times New Roman CYR" w:hAnsi="Times New Roman CYR"/>
      <w:sz w:val="24"/>
    </w:rPr>
  </w:style>
  <w:style w:styleId="Style_19_ch" w:type="character">
    <w:name w:val="Нормальный (таблица)"/>
    <w:basedOn w:val="Style_1_ch"/>
    <w:link w:val="Style_19"/>
    <w:rPr>
      <w:rFonts w:ascii="Times New Roman CYR" w:hAnsi="Times New Roman CYR"/>
      <w:sz w:val="24"/>
    </w:rPr>
  </w:style>
  <w:style w:styleId="Style_20" w:type="paragraph">
    <w:name w:val="heading 1"/>
    <w:basedOn w:val="Style_1"/>
    <w:next w:val="Style_1"/>
    <w:link w:val="Style_20_ch"/>
    <w:uiPriority w:val="9"/>
    <w:qFormat/>
    <w:pPr>
      <w:widowControl w:val="0"/>
      <w:spacing w:after="108" w:before="108" w:line="240" w:lineRule="auto"/>
      <w:ind/>
      <w:jc w:val="center"/>
      <w:outlineLvl w:val="0"/>
    </w:pPr>
    <w:rPr>
      <w:rFonts w:ascii="Times New Roman CYR" w:hAnsi="Times New Roman CYR"/>
      <w:b w:val="1"/>
      <w:color w:val="26282F"/>
      <w:sz w:val="24"/>
    </w:rPr>
  </w:style>
  <w:style w:styleId="Style_20_ch" w:type="character">
    <w:name w:val="heading 1"/>
    <w:basedOn w:val="Style_1_ch"/>
    <w:link w:val="Style_20"/>
    <w:rPr>
      <w:rFonts w:ascii="Times New Roman CYR" w:hAnsi="Times New Roman CYR"/>
      <w:b w:val="1"/>
      <w:color w:val="26282F"/>
      <w:sz w:val="24"/>
    </w:rPr>
  </w:style>
  <w:style w:styleId="Style_21" w:type="paragraph">
    <w:name w:val="ConsPlusNormal"/>
    <w:link w:val="Style_21_ch"/>
    <w:pPr>
      <w:widowControl w:val="0"/>
      <w:spacing w:after="0" w:line="240" w:lineRule="auto"/>
      <w:ind w:firstLine="720" w:left="0"/>
    </w:pPr>
    <w:rPr>
      <w:rFonts w:ascii="Arial" w:hAnsi="Arial"/>
      <w:sz w:val="20"/>
    </w:rPr>
  </w:style>
  <w:style w:styleId="Style_21_ch" w:type="character">
    <w:name w:val="ConsPlusNormal"/>
    <w:link w:val="Style_21"/>
    <w:rPr>
      <w:rFonts w:ascii="Arial" w:hAnsi="Arial"/>
      <w:sz w:val="20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22" w:type="paragraph">
    <w:name w:val="Hyperlink"/>
    <w:basedOn w:val="Style_10"/>
    <w:link w:val="Style_22_ch"/>
    <w:rPr>
      <w:color w:themeColor="hyperlink" w:val="0563C1"/>
      <w:u w:val="single"/>
    </w:rPr>
  </w:style>
  <w:style w:styleId="Style_22_ch" w:type="character">
    <w:name w:val="Hyperlink"/>
    <w:basedOn w:val="Style_10_ch"/>
    <w:link w:val="Style_22"/>
    <w:rPr>
      <w:color w:themeColor="hyperlink" w:val="0563C1"/>
      <w:u w:val="single"/>
    </w:rPr>
  </w:style>
  <w:style w:styleId="Style_23" w:type="paragraph">
    <w:name w:val="Footnote"/>
    <w:link w:val="Style_23_ch"/>
    <w:pPr>
      <w:ind/>
      <w:jc w:val="left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1"/>
    <w:link w:val="Style_24_ch"/>
    <w:uiPriority w:val="39"/>
    <w:pPr>
      <w:ind w:firstLine="0" w:left="0"/>
    </w:pPr>
    <w:rPr>
      <w:rFonts w:ascii="XO Thames" w:hAnsi="XO Thames"/>
      <w:b w:val="1"/>
    </w:rPr>
  </w:style>
  <w:style w:styleId="Style_24_ch" w:type="character">
    <w:name w:val="toc 1"/>
    <w:link w:val="Style_24"/>
    <w:rPr>
      <w:rFonts w:ascii="XO Thames" w:hAnsi="XO Thames"/>
      <w:b w:val="1"/>
    </w:rPr>
  </w:style>
  <w:style w:styleId="Style_25" w:type="paragraph">
    <w:name w:val="Прижатый влево"/>
    <w:basedOn w:val="Style_1"/>
    <w:next w:val="Style_1"/>
    <w:link w:val="Style_25_ch"/>
    <w:pPr>
      <w:widowControl w:val="0"/>
      <w:spacing w:after="0" w:line="240" w:lineRule="auto"/>
      <w:ind/>
    </w:pPr>
    <w:rPr>
      <w:rFonts w:ascii="Times New Roman CYR" w:hAnsi="Times New Roman CYR"/>
      <w:sz w:val="24"/>
    </w:rPr>
  </w:style>
  <w:style w:styleId="Style_25_ch" w:type="character">
    <w:name w:val="Прижатый влево"/>
    <w:basedOn w:val="Style_1_ch"/>
    <w:link w:val="Style_25"/>
    <w:rPr>
      <w:rFonts w:ascii="Times New Roman CYR" w:hAnsi="Times New Roman CYR"/>
      <w:sz w:val="24"/>
    </w:rPr>
  </w:style>
  <w:style w:styleId="Style_26" w:type="paragraph">
    <w:name w:val="Header and Footer"/>
    <w:link w:val="Style_26_ch"/>
    <w:pPr>
      <w:spacing w:line="360" w:lineRule="auto"/>
      <w:ind/>
    </w:pPr>
    <w:rPr>
      <w:rFonts w:ascii="XO Thames" w:hAnsi="XO Thames"/>
      <w:sz w:val="20"/>
    </w:rPr>
  </w:style>
  <w:style w:styleId="Style_26_ch" w:type="character">
    <w:name w:val="Header and Footer"/>
    <w:link w:val="Style_26"/>
    <w:rPr>
      <w:rFonts w:ascii="XO Thames" w:hAnsi="XO Thames"/>
      <w:sz w:val="20"/>
    </w:rPr>
  </w:style>
  <w:style w:styleId="Style_27" w:type="paragraph">
    <w:name w:val="Цветовое выделение"/>
    <w:link w:val="Style_27_ch"/>
    <w:rPr>
      <w:b w:val="1"/>
      <w:color w:val="26282F"/>
    </w:rPr>
  </w:style>
  <w:style w:styleId="Style_27_ch" w:type="character">
    <w:name w:val="Цветовое выделение"/>
    <w:link w:val="Style_27"/>
    <w:rPr>
      <w:b w:val="1"/>
      <w:color w:val="26282F"/>
    </w:rPr>
  </w:style>
  <w:style w:styleId="Style_28" w:type="paragraph">
    <w:name w:val="toc 9"/>
    <w:next w:val="Style_1"/>
    <w:link w:val="Style_28_ch"/>
    <w:uiPriority w:val="39"/>
    <w:pPr>
      <w:ind w:firstLine="0" w:left="1600"/>
    </w:pPr>
  </w:style>
  <w:style w:styleId="Style_28_ch" w:type="character">
    <w:name w:val="toc 9"/>
    <w:link w:val="Style_28"/>
  </w:style>
  <w:style w:styleId="Style_29" w:type="paragraph">
    <w:name w:val="toc 8"/>
    <w:next w:val="Style_1"/>
    <w:link w:val="Style_29_ch"/>
    <w:uiPriority w:val="39"/>
    <w:pPr>
      <w:ind w:firstLine="0" w:left="1400"/>
    </w:pPr>
  </w:style>
  <w:style w:styleId="Style_29_ch" w:type="character">
    <w:name w:val="toc 8"/>
    <w:link w:val="Style_29"/>
  </w:style>
  <w:style w:styleId="Style_30" w:type="paragraph">
    <w:name w:val="s_16"/>
    <w:basedOn w:val="Style_1"/>
    <w:link w:val="Style_30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0_ch" w:type="character">
    <w:name w:val="s_16"/>
    <w:basedOn w:val="Style_1_ch"/>
    <w:link w:val="Style_30"/>
    <w:rPr>
      <w:rFonts w:ascii="Times New Roman" w:hAnsi="Times New Roman"/>
      <w:sz w:val="24"/>
    </w:rPr>
  </w:style>
  <w:style w:styleId="Style_31" w:type="paragraph">
    <w:name w:val="s_10"/>
    <w:basedOn w:val="Style_10"/>
    <w:link w:val="Style_31_ch"/>
  </w:style>
  <w:style w:styleId="Style_31_ch" w:type="character">
    <w:name w:val="s_10"/>
    <w:basedOn w:val="Style_10_ch"/>
    <w:link w:val="Style_31"/>
  </w:style>
  <w:style w:styleId="Style_32" w:type="paragraph">
    <w:name w:val="Стиль"/>
    <w:link w:val="Style_32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32_ch" w:type="character">
    <w:name w:val="Стиль"/>
    <w:link w:val="Style_32"/>
    <w:rPr>
      <w:rFonts w:ascii="Times New Roman" w:hAnsi="Times New Roman"/>
      <w:sz w:val="24"/>
    </w:rPr>
  </w:style>
  <w:style w:styleId="Style_33" w:type="paragraph">
    <w:name w:val="ConsPlusNonformat"/>
    <w:link w:val="Style_3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3_ch" w:type="character">
    <w:name w:val="ConsPlusNonformat"/>
    <w:link w:val="Style_33"/>
    <w:rPr>
      <w:rFonts w:ascii="Courier New" w:hAnsi="Courier New"/>
      <w:sz w:val="20"/>
    </w:rPr>
  </w:style>
  <w:style w:styleId="Style_34" w:type="paragraph">
    <w:name w:val="s_3"/>
    <w:basedOn w:val="Style_1"/>
    <w:link w:val="Style_3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4_ch" w:type="character">
    <w:name w:val="s_3"/>
    <w:basedOn w:val="Style_1_ch"/>
    <w:link w:val="Style_34"/>
    <w:rPr>
      <w:rFonts w:ascii="Times New Roman" w:hAnsi="Times New Roman"/>
      <w:sz w:val="24"/>
    </w:rPr>
  </w:style>
  <w:style w:styleId="Style_35" w:type="paragraph">
    <w:name w:val="toc 5"/>
    <w:next w:val="Style_1"/>
    <w:link w:val="Style_35_ch"/>
    <w:uiPriority w:val="39"/>
    <w:pPr>
      <w:ind w:firstLine="0" w:left="800"/>
    </w:pPr>
  </w:style>
  <w:style w:styleId="Style_35_ch" w:type="character">
    <w:name w:val="toc 5"/>
    <w:link w:val="Style_35"/>
  </w:style>
  <w:style w:styleId="Style_36" w:type="paragraph">
    <w:name w:val="Гипертекстовая ссылка"/>
    <w:basedOn w:val="Style_27"/>
    <w:link w:val="Style_36_ch"/>
    <w:rPr>
      <w:b w:val="1"/>
      <w:color w:val="106BBE"/>
    </w:rPr>
  </w:style>
  <w:style w:styleId="Style_36_ch" w:type="character">
    <w:name w:val="Гипертекстовая ссылка"/>
    <w:basedOn w:val="Style_27_ch"/>
    <w:link w:val="Style_36"/>
    <w:rPr>
      <w:b w:val="1"/>
      <w:color w:val="106BBE"/>
    </w:rPr>
  </w:style>
  <w:style w:styleId="Style_37" w:type="paragraph">
    <w:name w:val="Subtitle"/>
    <w:next w:val="Style_1"/>
    <w:link w:val="Style_37_ch"/>
    <w:uiPriority w:val="11"/>
    <w:qFormat/>
    <w:rPr>
      <w:rFonts w:ascii="XO Thames" w:hAnsi="XO Thames"/>
      <w:i w:val="1"/>
      <w:color w:val="616161"/>
      <w:sz w:val="24"/>
    </w:rPr>
  </w:style>
  <w:style w:styleId="Style_37_ch" w:type="character">
    <w:name w:val="Subtitle"/>
    <w:link w:val="Style_37"/>
    <w:rPr>
      <w:rFonts w:ascii="XO Thames" w:hAnsi="XO Thames"/>
      <w:i w:val="1"/>
      <w:color w:val="616161"/>
      <w:sz w:val="24"/>
    </w:rPr>
  </w:style>
  <w:style w:styleId="Style_38" w:type="paragraph">
    <w:name w:val="Обычный1"/>
    <w:link w:val="Style_38_ch"/>
  </w:style>
  <w:style w:styleId="Style_38_ch" w:type="character">
    <w:name w:val="Обычный1"/>
    <w:link w:val="Style_38"/>
  </w:style>
  <w:style w:styleId="Style_39" w:type="paragraph">
    <w:name w:val="Title"/>
    <w:next w:val="Style_1"/>
    <w:link w:val="Style_39_ch"/>
    <w:uiPriority w:val="10"/>
    <w:qFormat/>
    <w:rPr>
      <w:rFonts w:ascii="XO Thames" w:hAnsi="XO Thames"/>
      <w:b w:val="1"/>
      <w:sz w:val="52"/>
    </w:rPr>
  </w:style>
  <w:style w:styleId="Style_39_ch" w:type="character">
    <w:name w:val="Title"/>
    <w:link w:val="Style_39"/>
    <w:rPr>
      <w:rFonts w:ascii="XO Thames" w:hAnsi="XO Thames"/>
      <w:b w:val="1"/>
      <w:sz w:val="52"/>
    </w:rPr>
  </w:style>
  <w:style w:styleId="Style_40" w:type="paragraph">
    <w:name w:val="heading 4"/>
    <w:next w:val="Style_1"/>
    <w:link w:val="Style_4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40_ch" w:type="character">
    <w:name w:val="heading 4"/>
    <w:link w:val="Style_40"/>
    <w:rPr>
      <w:rFonts w:ascii="XO Thames" w:hAnsi="XO Thames"/>
      <w:b w:val="1"/>
      <w:color w:val="595959"/>
      <w:sz w:val="26"/>
    </w:rPr>
  </w:style>
  <w:style w:styleId="Style_41" w:type="paragraph">
    <w:name w:val="ConsPlusCell"/>
    <w:link w:val="Style_41_ch"/>
    <w:pPr>
      <w:spacing w:after="0" w:line="240" w:lineRule="auto"/>
      <w:ind/>
    </w:pPr>
    <w:rPr>
      <w:rFonts w:ascii="Arial" w:hAnsi="Arial"/>
      <w:sz w:val="20"/>
    </w:rPr>
  </w:style>
  <w:style w:styleId="Style_41_ch" w:type="character">
    <w:name w:val="ConsPlusCell"/>
    <w:link w:val="Style_41"/>
    <w:rPr>
      <w:rFonts w:ascii="Arial" w:hAnsi="Arial"/>
      <w:sz w:val="20"/>
    </w:rPr>
  </w:style>
  <w:style w:styleId="Style_42" w:type="paragraph">
    <w:name w:val="heading 2"/>
    <w:next w:val="Style_1"/>
    <w:link w:val="Style_42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42_ch" w:type="character">
    <w:name w:val="heading 2"/>
    <w:link w:val="Style_42"/>
    <w:rPr>
      <w:rFonts w:ascii="XO Thames" w:hAnsi="XO Thames"/>
      <w:b w:val="1"/>
      <w:color w:val="00A0FF"/>
      <w:sz w:val="26"/>
    </w:rPr>
  </w:style>
  <w:style w:styleId="Style_43" w:type="paragraph">
    <w:name w:val="ConsPlusTitle"/>
    <w:link w:val="Style_43_ch"/>
    <w:pPr>
      <w:spacing w:after="0" w:line="240" w:lineRule="auto"/>
      <w:ind/>
    </w:pPr>
    <w:rPr>
      <w:rFonts w:ascii="Times New Roman CYR" w:hAnsi="Times New Roman CYR"/>
      <w:b w:val="1"/>
      <w:sz w:val="28"/>
    </w:rPr>
  </w:style>
  <w:style w:styleId="Style_43_ch" w:type="character">
    <w:name w:val="ConsPlusTitle"/>
    <w:link w:val="Style_43"/>
    <w:rPr>
      <w:rFonts w:ascii="Times New Roman CYR" w:hAnsi="Times New Roman CYR"/>
      <w:b w:val="1"/>
      <w:sz w:val="28"/>
    </w:rPr>
  </w:style>
  <w:style w:styleId="Style_44" w:type="paragraph">
    <w:name w:val="Основной текст7"/>
    <w:basedOn w:val="Style_1"/>
    <w:link w:val="Style_44_ch"/>
    <w:pPr>
      <w:widowControl w:val="0"/>
      <w:spacing w:after="240" w:before="540" w:line="307" w:lineRule="exact"/>
      <w:ind w:hanging="1880" w:left="1880"/>
    </w:pPr>
    <w:rPr>
      <w:sz w:val="25"/>
    </w:rPr>
  </w:style>
  <w:style w:styleId="Style_44_ch" w:type="character">
    <w:name w:val="Основной текст7"/>
    <w:basedOn w:val="Style_1_ch"/>
    <w:link w:val="Style_44"/>
    <w:rPr>
      <w:sz w:val="25"/>
    </w:rPr>
  </w:style>
  <w:style w:default="1" w:styleId="Style_4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2025-12-10T10:21:39Z</dcterms:modified>
</cp:coreProperties>
</file>